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right="624"/>
        <w:jc w:val="left"/>
        <w:textAlignment w:val="auto"/>
        <w:rPr>
          <w:rFonts w:hint="default" w:ascii="Nimbus Roman No9 L" w:hAnsi="Nimbus Roman No9 L" w:eastAsia="黑体" w:cs="黑体"/>
          <w:color w:val="auto"/>
          <w:sz w:val="32"/>
          <w:szCs w:val="32"/>
          <w:highlight w:val="none"/>
          <w:lang w:val="zh-TW" w:eastAsia="zh-TW"/>
        </w:rPr>
      </w:pPr>
      <w:r>
        <w:rPr>
          <w:rFonts w:ascii="Nimbus Roman No9 L" w:hAnsi="Nimbus Roman No9 L" w:eastAsia="黑体" w:cs="黑体"/>
          <w:color w:val="auto"/>
          <w:sz w:val="32"/>
          <w:szCs w:val="32"/>
          <w:highlight w:val="none"/>
          <w:lang w:val="zh-TW" w:eastAsia="zh-TW"/>
        </w:rPr>
        <w:t>附件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textAlignment w:val="auto"/>
        <w:rPr>
          <w:rFonts w:hint="default" w:ascii="Nimbus Roman No9 L" w:hAnsi="Nimbus Roman No9 L" w:eastAsia="华文仿宋" w:cs="华文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jc w:val="center"/>
        <w:textAlignment w:val="auto"/>
        <w:rPr>
          <w:rFonts w:hint="default" w:ascii="Nimbus Roman No9 L" w:hAnsi="Nimbus Roman No9 L" w:eastAsia="方正小标宋简体" w:cs="方正小标宋简体"/>
          <w:color w:val="auto"/>
          <w:sz w:val="44"/>
          <w:szCs w:val="44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44"/>
          <w:szCs w:val="44"/>
          <w:highlight w:val="none"/>
          <w:lang w:eastAsia="zh-TW"/>
        </w:rPr>
        <w:t>20</w:t>
      </w:r>
      <w:r>
        <w:rPr>
          <w:rFonts w:hint="eastAsia" w:ascii="Nimbus Roman No9 L" w:hAnsi="Nimbus Roman No9 L" w:eastAsia="Nimbus Roman No9 L" w:cs="Nimbus Roman No9 L"/>
          <w:color w:val="auto"/>
          <w:sz w:val="44"/>
          <w:szCs w:val="44"/>
          <w:highlight w:val="none"/>
          <w:lang w:val="en-US" w:eastAsia="zh-CN"/>
        </w:rPr>
        <w:t>24</w:t>
      </w:r>
      <w:r>
        <w:rPr>
          <w:rFonts w:ascii="Nimbus Roman No9 L" w:hAnsi="Nimbus Roman No9 L" w:eastAsia="方正小标宋简体" w:cs="方正小标宋简体"/>
          <w:color w:val="auto"/>
          <w:sz w:val="44"/>
          <w:szCs w:val="44"/>
          <w:highlight w:val="none"/>
          <w:lang w:val="zh-TW" w:eastAsia="zh-TW"/>
        </w:rPr>
        <w:t>年天津市科学技术普及项目申报指南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为深入贯彻党的二十大精神，认真落实</w:t>
      </w:r>
      <w:r>
        <w:rPr>
          <w:rFonts w:hint="default" w:ascii="Nimbus Roman No9 L" w:hAnsi="Nimbus Roman No9 L" w:eastAsia="仿宋_GB2312" w:cs="Times New Roman"/>
          <w:color w:val="auto"/>
          <w:sz w:val="32"/>
          <w:szCs w:val="32"/>
          <w:highlight w:val="none"/>
        </w:rPr>
        <w:t>市委、市政府关于深入推进全域科普的决策部署，</w:t>
      </w:r>
      <w:r>
        <w:rPr>
          <w:rFonts w:hint="eastAsia" w:ascii="Nimbus Roman No9 L" w:hAnsi="Nimbus Roman No9 L" w:eastAsia="仿宋_GB2312" w:cs="Times New Roman"/>
          <w:color w:val="auto"/>
          <w:sz w:val="32"/>
          <w:szCs w:val="32"/>
          <w:highlight w:val="none"/>
          <w:lang w:eastAsia="zh-CN"/>
        </w:rPr>
        <w:t>按照《天津市科学技术普及条例》《天津市“十四五”时期科学技术普及发展规划》和</w:t>
      </w:r>
      <w:r>
        <w:rPr>
          <w:rFonts w:hint="eastAsia" w:ascii="Nimbus Roman No9 L" w:hAnsi="Nimbus Roman No9 L" w:eastAsia="仿宋_GB2312"/>
          <w:sz w:val="32"/>
          <w:szCs w:val="32"/>
          <w:highlight w:val="none"/>
          <w:lang w:eastAsia="zh-CN"/>
        </w:rPr>
        <w:t>《天津市关于进一步深化新时代科学技术普及工作的实施意见》</w:t>
      </w:r>
      <w:r>
        <w:rPr>
          <w:rFonts w:hint="eastAsia" w:ascii="Nimbus Roman No9 L" w:hAnsi="Nimbus Roman No9 L" w:eastAsia="仿宋_GB2312" w:cs="Times New Roman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制定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20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2</w:t>
      </w: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年天津市科学技术普及项目（以下简称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科普项目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）申报指南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一、重大科普赛事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专题一：天津市科普讲解大赛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1.总体目标：充分调动科技工作者、科普讲解人员、广大市民参与科学普及工作的积极性，通过大赛培养和选拔一批优秀科普讲解人才，进一步提高我市科普人才队伍素质，提升科学传播能力和水平。择优推荐市级大赛获奖选手参加国家级大赛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2.申报条件：申报单位应具备举办天津市科普讲解大赛的能力和工作基础，能够有效动员各高校、科研院所、中小学、科普基地、科普场馆、企业专兼职讲解员及社会人士参加，并征集不少于100名参赛选手。大赛期间围绕提升选手讲解能力组织不少于5次专业化培训。在科技周等重大科普活动期间能够组织获奖选手走进学校、社区、农村等开展公益科普讲解活动。重要活动需在我市主要媒体上进行宣传报道，所开展的活动和围绕该专题开发的线上科普资源需在“科普惠”微信平台公开发布并自主完成公众参与对接。我市行政区域内的各企事业单位均可申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3.资助额度：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2"/>
          <w:szCs w:val="32"/>
          <w:highlight w:val="none"/>
          <w:lang w:val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万元/项，共1项。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专题二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：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天津市科普微视频大赛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.总体目标：广泛发动高校、科研院所、企业及社会力量，围绕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高新科技知识普及、科学原理展示等主题，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制作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一批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内容科学、形式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新颖、群众喜闻乐见的科普微视频作品，在全市广泛宣传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推广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进一步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发挥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科普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微视频在科普传播中的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独特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作用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择优推荐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市级大赛获奖作品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参加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国家级大赛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申报条件：申报单位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应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具备组织举办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天津市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科普微视频大赛的能力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和工作基础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，能够征集到不少于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100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件科普微视频作品，并组织评选出知识丰富、创意新颖、制作精良的科普微视频作品，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对其中不少于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部优秀作品进行系统修改提升，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优秀作品在公开网站、平台累计浏览人次不低于10万人次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。相关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活动需在我市主要媒体上进行宣传报道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我市行政区域内的各企事业单位均可申报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2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万元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共1项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三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：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天津市科学实验展演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汇演活动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总体目标：着力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激发科技工作者、科普工作者和爱好者、广大市民创作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科普剧、科学秀、科普小品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的热情，通过大赛选拔和推广一批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科学性、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艺术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性、观赏性强的优秀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科学实验展演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作品，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进一步丰富我市科普活动表现形式、扩大社会影响。择优推荐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市级大赛获奖作品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参加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国家级大赛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申报条件：申报单位应具备举办天津市科学实验展演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汇演活动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的能力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和工作基础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，组织不少于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支队伍参赛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能够选拔培训优秀选手，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对其中不少于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部优秀作品进行系统修改提升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科技周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等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重大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科普活动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期间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组织获奖选手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在我市主要科普场馆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、市级科普基地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开展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公益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展演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。重要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活动需在我市主要媒体上进行宣传报道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我市行政区域内的各企事业单位均可申报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万元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共1项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TW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四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：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天津市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TW"/>
        </w:rPr>
        <w:t>优秀科普图书评选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展示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TW"/>
        </w:rPr>
        <w:t>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.总体目标：组织评选一批科学性、知识性、通俗性、趣味性强的优秀科普图书，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面向社会广泛推介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，为加快普及科学知识、倡导科学方法、传播科学思想、弘扬科学精神创造条件。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.申报条件：申报单位应具备组织天津市优秀科普图书评选活动的能力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和工作基础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，能够征集不少于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30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部我市出版社出版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或我市市民创作已出版发行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的原创科普图书，并组织专家评选出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部优秀科普图书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科技周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等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重大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科普活动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期间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，面向广大市民开展优秀科普图书推介及公益推广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结合科普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帮扶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任务，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面向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甘肃、西藏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等对口帮扶地区开展科普图书捐赠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；结合“双减”工作，面向中小学开展科普图书推广。组织活动不少于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3次，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科普图书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公益推广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总量不低于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1000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本。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我市行政区域内的各企事业单位均可申报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1</w:t>
      </w: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万元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共1项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二、青少年科学教育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专题五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：青少年科学教育助力行动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.总体目标：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发挥科学普及在青少年科学教育中的资源优势，开发线上科普资源汇集平台，绘制线上科普地图，组织科普资源与中小学对接活动，为提升青少年科学素养，培育科学精神提供有力支撑。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.申报条件：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申报单位应具备丰富全市科普工作组织管理经验，能够掌握我市优质科普资源分布情况，系统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挖掘梳理我市优秀科学教育课程资源，搭建1个线上科普资源汇集平台，绘制1个线上科普地图；通过点亮科学地标线上打卡、科学手抄报、科普征文等活动形式，面向全市不少于200所中小学广泛推介；组织1场“科普走进校园 科学筑梦未来”科普资源对接活动。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/>
        </w:rPr>
        <w:t>0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万元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共1项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专题六：“科普之旅 科学之光”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科普研学路线开发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1.总体目标：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系统梳理挖掘天津市科普基地资源，打造特色科普基地集群，设计符合中小学科学教育需求的研学路线和相应课程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并面向中小学生公益推广，为青少年科学教育提供更具系统性、趣味性的选择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2.申报条件：申报单位应具备丰富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全市科普工作组织经验，能够掌握我市优质科普资源分布情况，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能够联动不少于10家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天津市科普基地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特色点位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开发不少于3条科普研学路线和相应课程，选择不少于1条路线，组织我市不少于100名中小学生，开展不少于2期、每期不少于2天的“科普之旅 科学之光”主题公益科普研学活动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3.资助额度：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0万元/项，共1项。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七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/>
        </w:rPr>
        <w:t>：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青少年科学探究实验室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1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搭建面向中小学生的青少年科学探究实验室，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开发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青少年科学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实验室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课程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，设计场景式、体验式、探究式的科学实验活动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让青少年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参与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观察、体验、实践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、总结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等科学探索的全过程，在体验式、探究式学习过程中激发对科学探究的好奇心和兴趣，掌握科学探究的思维过程与能力。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CN" w:eastAsia="zh-TW"/>
        </w:rPr>
        <w:t>2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.申报条件：申报单位应具备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实验室建设、科学探究课程开发设计、专业师资配备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等能力和基础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条件，实验室已建成稳定运营2年以上，具备完整课程体系，2名及以上专职科学教师，近两年每年接待青少年500人次以上。项目执行期内，应完成一套不少于20课时的系列科学实验课程资源及配套实验器材，面向不少于10所中小学、社区开展公益实验探究活动，参与人次不低于1000人次，项目形成的实验课程市科技局有权用于公益推广、使用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本专题限天津市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科普基地依托单位申报，鼓励科普基地与中小学校联合申报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3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.资助额度：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万元/项。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八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青少年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科普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产品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开发及推广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1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聚焦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人工智能、航空航天、防灾减灾、生态环保等重点领域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以及基础科学知识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，开展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科学教育课程资源包、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科普展教用品、智能体验设备等科普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产品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开发。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.申报条件：申报单位应具备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青少年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产品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开发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能力和工作基础，申报时须列出详细的开发方案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。科普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产品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须主题明确、科学内涵丰富、通俗易懂，突出原创性、科学性、实用性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，课程资源类产品应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不少于20课时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研发完成后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能够在国家和市级重大科普活动或展会上进行成果展示，并深入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所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学校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、社区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或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村镇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等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开展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科普知识宣传和产品体验活动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在“科普惠”微信平台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并自主完成公众参与对接。科普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资源推广需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标注“天津市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科技局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科学技术普及项目”字样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，形成的线上资源市科技局可免费公益使用。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我市行政区域内的各企事业单位均可申报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，优先支持具有产业化能力的项目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.资助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万元/项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。同等条件下优先支持匹配自筹资金的申报单位，匹配金额不限。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专题九：中小学校园科普活动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autoSpaceDE/>
        <w:autoSpaceDN/>
        <w:bidi w:val="0"/>
        <w:spacing w:line="560" w:lineRule="exact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1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聚焦中小学科学教育需求，组织面向中小学生的校园科普活动，通过科普活动培养和引导中小学生的科学兴趣，增强中小学生对新知识的渴望和对未知领域的探索，激发他们的好奇心、想象力、探求欲。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autoSpaceDE/>
        <w:autoSpaceDN/>
        <w:bidi w:val="0"/>
        <w:spacing w:line="560" w:lineRule="exact"/>
        <w:ind w:firstLine="604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2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.申报条件：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申报单位应为天津市范围内中小学校，通过组织校园科技周、科普秀、科普讲座、科普赛事等科普活动，培养和引导中小学生的科学兴趣。活动应覆盖全校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80%以上学生，参与人次不低于1000人次，鼓励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学校与天津市科普基地联合申报，鼓励多所学校联合申报。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autoSpaceDE/>
        <w:autoSpaceDN/>
        <w:bidi w:val="0"/>
        <w:spacing w:line="560" w:lineRule="exact"/>
        <w:ind w:firstLine="604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万元/项。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三、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科普效能提升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：天津市科普管理效能提升专项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1.总体目标：面向全市组织开展科普数据统计调查，内容包括我市科普人员、科普场地、科普经费、科普传媒、科普活动等科普工作投入产出情况，根据统计数据编制分析报告，提出进一步提升我市科普管理效能的对策建议，为制定和完善科普政策提供参考和依据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面向全市组织科普培训交流研讨活动，提升科普工作覆盖面和影响力。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2.申报条件：申报单位应具备组织全市科普数据统计调查的工作基础，能够面向市区级两级有关部门及其直属事业单位、社会团体、科普基地等开展统计，及时对数据进行对比分析，形成统计报告；组织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2场科普培训交流研讨活动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参与单位总数不少于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100家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。我市行政区域内的各企事业单位均可申报。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3.资助额度：20万元/项，共1项。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十一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：科普基地服务能力建设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支持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市级科普基地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科普基地传统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展陈改造提升、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互动体验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展项开发、科普基础设施提升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，或结合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基地特色资源，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支撑服务青少年科学教育，组织大型特色科普活动等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进一步提升市级科普基地科普服务能力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条件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申报时需提出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详细的科普服务能力提升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方案，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明确项目效果预期。项目执行期内，基地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年度开展科普活动不少于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次，线下参与人次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不低于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人次；面向我市及对口帮扶地区开展不少于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3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次远程科普公益讲堂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；结合“双减”工作要求，积极参与中小学课后服务工作，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辐射推广不少于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5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所中小学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本专题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仅限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天津市科普基地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依托单位申报。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万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元/项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。同等条件下优先支持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在本年度科普基地评估工作中评估结果为“优秀”，以及能够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匹配自筹资金的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科普基地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专题十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二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：新时代科普理论研究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1.总体目标：围绕中央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和我市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关于加强新时代科普工作的重要部署，结合我市高质量发展和科技自立自强对科普工作的新定位新要求，着眼科普事业长期健康发展，开展科普载体建设、科普传播体系构建、科技资源科普化、科普产业培育、科普激励机制等5方面科普理论研究，形成新时代加强我市科学技术普及工作的政策建议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2.申报条件：申报单位应具备丰富的科普理论研究经验，提出过相关科普政策建议并被政府部门采纳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（须提供成果采纳证明）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。围绕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课题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，开展不少于3次专题调研，组织召开不少于2次专家研讨会议，充分借鉴国内外先进经验，结合我市实际情况，提出新时代加强我市科学技术普及工作的政策建议报告，须发表一篇以上学术论文。我市行政区域内的各企事业单位均可申报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，同等条件下优先支持科技智库依托单位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TW"/>
        </w:rPr>
        <w:t>3.资助额度：3万元/项</w:t>
      </w:r>
      <w:r>
        <w:rPr>
          <w:rFonts w:hint="eastAsia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TW" w:eastAsia="zh-CN"/>
        </w:rPr>
        <w:t>四、科技资源科普化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CN"/>
        </w:rPr>
        <w:t>十三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  <w:t>天津市重大科技成果科普化示范项目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.总体目标：推动我市重大科技成果科普化，将科技成果包含的知识、思想、方法、主要突破和实现意义等，向社会公众介绍推广，提高科技创新成果的普及程度。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.申报条件：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重点支持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20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至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202</w:t>
      </w: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年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期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间获得国家和市级科技奖励的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第一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完成单位（须上传获奖证明材料），将科技成果通过科普微视频、实物模型、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VR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体验、科普宣传折页等通俗易懂、深入浅出的方式，面向社会公众进行广泛宣传、介绍和推广。组织不少于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大型科普专题讲座或互动性科普活动，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线下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参与人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00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人，创作科普微视频不少于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1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部，每年科普推文不少于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10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篇。所开展的活动和围绕该专题开发的线上科普资源需在“科普惠”微信平台公开发布并自主完成公众参与对接。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zh-TW" w:eastAsia="zh-TW"/>
        </w:rPr>
        <w:t>3.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资助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万元/项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十四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重大创新平台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特色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科普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1.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总体目标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：充分发挥重大创新平台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科技资源、人才资源富集优势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支持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重大创新平台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组织丰富多彩的特色科普活动，定期面向社会开放，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打造成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为支撑公民科学素质提升的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“科学地标”。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2.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申报要求：申报单位结合自身特色资源，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TW"/>
        </w:rPr>
        <w:t>采取专题讲座、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科普游学、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TW"/>
        </w:rPr>
        <w:t>互动体验等多种形式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开展主题鲜明的科普宣传活动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，活动应内容丰富，形式多样，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线上线下有机结合，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影响力广泛，系列活动次数一般不少于3场或累计活动时长不少于3天，线下参与500人次以上。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TW"/>
        </w:rPr>
        <w:t>本专题仅限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国家、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TW"/>
        </w:rPr>
        <w:t>天津市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重大创新平台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TW"/>
        </w:rPr>
        <w:t>依托单位申报。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adjustRightInd w:val="0"/>
        <w:snapToGrid w:val="0"/>
        <w:spacing w:line="560" w:lineRule="exact"/>
        <w:ind w:right="0" w:rightChars="0"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万元/项。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zh-TW" w:eastAsia="zh-CN"/>
        </w:rPr>
        <w:t>五、科普宣传活动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专题十五：</w:t>
      </w:r>
      <w:r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京津冀科普活动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1.总体目标：以推动京津冀科普协同发展为导向，聚焦京津冀优质科普资源，组织京津冀科普理论研讨、资源对接、人才交流等相关活动，实现区域资源共享、人才共用。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2.申报条件：申报单位应了解京津冀三地科普资源，能够联动三地科普力量，组织辐射三地的科普交流活动。鼓励天津市内单位联合京、冀两地联合申报。执行期内，组织科普活动不少于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场，累计参与人数不少于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人次。所开展的活动和围绕该专题开发的线上科普资源需在“科普惠”微信平台公开发布并自主完成公众参与对接。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3.资助额度：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万元/项。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专题十六：外国专家科普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1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总体目标：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围绕先进技术和科学文化等领域，发挥在津外籍专家作用，面向青少年等重点人群，结合自身专业特长，开展科普活动，提升我市科普工作国际交流水平。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.申报条件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CN"/>
        </w:rPr>
        <w:t>申报单位应具有开展科普工作的外籍专家团队，能够围绕专家研究领域，通过开展科普讲座、短视频等方式，组织具有国际视角的科普活动。项目科普内容应对华友好，仅限科技领域。执行期内，组织科普活动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，每次参与人数不少于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人，科普推文累计不少于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篇。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需提交外籍人才在津工作相关证明。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  <w:lang w:eastAsia="zh-TW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：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万元/项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专题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十七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专题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科普</w:t>
      </w:r>
      <w:r>
        <w:rPr>
          <w:rFonts w:hint="eastAsia"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宣传</w:t>
      </w:r>
      <w:r>
        <w:rPr>
          <w:rFonts w:ascii="Nimbus Roman No9 L" w:hAnsi="Nimbus Roman No9 L" w:eastAsia="仿宋_GB2312" w:cs="仿宋_GB2312"/>
          <w:b/>
          <w:bCs/>
          <w:color w:val="auto"/>
          <w:sz w:val="32"/>
          <w:szCs w:val="32"/>
          <w:highlight w:val="none"/>
        </w:rPr>
        <w:t>活动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default" w:ascii="Nimbus Roman No9 L" w:hAnsi="Nimbus Roman No9 L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/>
        </w:rPr>
        <w:t>1.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集范围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重点支持全市范围开展的、符合时代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特色和公众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需求的专题性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系列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科普活动。活动能够吸引社会各界广泛参与，受众面广，影响力大，对全市科普活动开展具有示范作用。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分为以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下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个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领域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：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高新技术科普宣传活动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。含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新质生产力、数字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智能、航空航天、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信创、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新能源新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材料等方向（包括但不限于，下同）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生态文明科普宣传活动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双碳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、水资源节约利用、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生物多样性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保护、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垃圾分类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等方向；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C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卫生健康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科普宣传活动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基本健康知识普及、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中医药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、生物安全、食品安全等方向；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D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应急科普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防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震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减灾、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消防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、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气象、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安全生产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、应急救援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等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方向；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宋体" w:cs="Nimbus Roman No9 L"/>
          <w:color w:val="auto"/>
          <w:sz w:val="32"/>
          <w:szCs w:val="32"/>
          <w:highlight w:val="none"/>
          <w:lang w:val="en-US" w:eastAsia="zh-CN"/>
        </w:rPr>
        <w:t>E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.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科技惠农科普宣传活动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含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</w:rPr>
        <w:t>乡村振兴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现代农业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val="zh-TW"/>
        </w:rPr>
        <w:t>科技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CN"/>
        </w:rPr>
        <w:t>知识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普及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，以及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东西部协作科普交流、对口帮扶地区科普资源输送等方向。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spacing w:line="560" w:lineRule="exact"/>
        <w:ind w:firstLine="606" w:firstLineChars="200"/>
        <w:textAlignment w:val="auto"/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2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.申报要求：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项目申报单位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可采取专题讲座、发放资料、互动体验、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知识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竞赛等多种形式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开展主题鲜明的科普宣传活动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活动应线上线下有机结合，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鼓励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设计制作科普展板、宣传折页、记事本等宣传产品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用于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公益发放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。执行期内，组织科普活动不少于3场，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累计参与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人数不少于100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人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次。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所开展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的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活动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和围绕该专题开发的线上科普资源需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在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科普惠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”微信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平台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公开发布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并自主完成公众参与对接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。申报时题目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  <w:highlight w:val="none"/>
          <w:lang w:eastAsia="zh-CN"/>
        </w:rPr>
        <w:t>格式须统一为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面向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XX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群体的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XX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专题科普宣传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活动”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val="zh-TW" w:eastAsia="zh-TW"/>
        </w:rPr>
        <w:t>。我市行政区域内的各企事业单位均可申报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wordWrap/>
        <w:autoSpaceDE/>
        <w:autoSpaceDN/>
        <w:bidi w:val="0"/>
        <w:adjustRightInd w:val="0"/>
        <w:snapToGrid w:val="0"/>
        <w:spacing w:line="560" w:lineRule="exact"/>
        <w:ind w:right="0" w:rightChars="0" w:firstLine="606" w:firstLineChars="200"/>
        <w:textAlignment w:val="auto"/>
        <w:rPr>
          <w:rFonts w:hint="eastAsia" w:ascii="Nimbus Roman No9 L" w:hAnsi="Nimbus Roman No9 L" w:eastAsia="仿宋_GB2312"/>
          <w:sz w:val="28"/>
          <w:szCs w:val="28"/>
          <w:highlight w:val="none"/>
        </w:rPr>
      </w:pP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.资助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额度</w:t>
      </w:r>
      <w:r>
        <w:rPr>
          <w:rFonts w:ascii="Nimbus Roman No9 L" w:hAnsi="Nimbus Roman No9 L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Nimbus Roman No9 L" w:hAnsi="Nimbus Roman No9 L" w:eastAsia="Nimbus Roman No9 L" w:cs="Nimbus Roman No9 L"/>
          <w:color w:val="auto"/>
          <w:sz w:val="32"/>
          <w:szCs w:val="32"/>
          <w:highlight w:val="none"/>
        </w:rPr>
        <w:t>3</w:t>
      </w:r>
      <w:r>
        <w:rPr>
          <w:rFonts w:hint="default" w:ascii="Nimbus Roman No9 L" w:hAnsi="Nimbus Roman No9 L" w:eastAsia="仿宋_GB2312" w:cs="仿宋_GB2312"/>
          <w:color w:val="auto"/>
          <w:sz w:val="32"/>
          <w:szCs w:val="32"/>
          <w:highlight w:val="none"/>
        </w:rPr>
        <w:t>万元/项。</w:t>
      </w:r>
    </w:p>
    <w:p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606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right="-1" w:rightChars="-1" w:firstLine="263" w:firstLineChars="100"/>
        <w:rPr>
          <w:rFonts w:hint="eastAsia" w:ascii="仿宋_GB2312" w:eastAsia="仿宋_GB2312"/>
          <w:sz w:val="28"/>
          <w:szCs w:val="28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2BAE"/>
    <w:rsid w:val="000A4124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63844"/>
    <w:rsid w:val="00166523"/>
    <w:rsid w:val="001A2DE2"/>
    <w:rsid w:val="001C0711"/>
    <w:rsid w:val="001D4F6B"/>
    <w:rsid w:val="001F2E84"/>
    <w:rsid w:val="001F4533"/>
    <w:rsid w:val="001F581A"/>
    <w:rsid w:val="001F7967"/>
    <w:rsid w:val="00212C15"/>
    <w:rsid w:val="002305B4"/>
    <w:rsid w:val="00236910"/>
    <w:rsid w:val="00240AAF"/>
    <w:rsid w:val="00260207"/>
    <w:rsid w:val="00266704"/>
    <w:rsid w:val="00284EA7"/>
    <w:rsid w:val="002A7BE3"/>
    <w:rsid w:val="002B63CF"/>
    <w:rsid w:val="002C284E"/>
    <w:rsid w:val="002C4980"/>
    <w:rsid w:val="002E404E"/>
    <w:rsid w:val="002E473F"/>
    <w:rsid w:val="002E76F8"/>
    <w:rsid w:val="002E7C55"/>
    <w:rsid w:val="002E7F7D"/>
    <w:rsid w:val="00302117"/>
    <w:rsid w:val="00307012"/>
    <w:rsid w:val="003252D0"/>
    <w:rsid w:val="00344FFC"/>
    <w:rsid w:val="003564B8"/>
    <w:rsid w:val="0036324B"/>
    <w:rsid w:val="0039400E"/>
    <w:rsid w:val="003A0AC9"/>
    <w:rsid w:val="003A3DA5"/>
    <w:rsid w:val="003B29D8"/>
    <w:rsid w:val="003B38AB"/>
    <w:rsid w:val="003B3968"/>
    <w:rsid w:val="003E737B"/>
    <w:rsid w:val="003F3155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3006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569C"/>
    <w:rsid w:val="00584B0F"/>
    <w:rsid w:val="005860B8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B649D"/>
    <w:rsid w:val="006D1D95"/>
    <w:rsid w:val="006F4EB6"/>
    <w:rsid w:val="00701D78"/>
    <w:rsid w:val="0070221C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7E1A42"/>
    <w:rsid w:val="008003A1"/>
    <w:rsid w:val="00803B03"/>
    <w:rsid w:val="0080438F"/>
    <w:rsid w:val="0081210F"/>
    <w:rsid w:val="00830F62"/>
    <w:rsid w:val="0083146E"/>
    <w:rsid w:val="00847FB3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210E4"/>
    <w:rsid w:val="00924233"/>
    <w:rsid w:val="00934CBC"/>
    <w:rsid w:val="0093608A"/>
    <w:rsid w:val="00943BFA"/>
    <w:rsid w:val="00957FEC"/>
    <w:rsid w:val="009634C8"/>
    <w:rsid w:val="0097316F"/>
    <w:rsid w:val="009745EA"/>
    <w:rsid w:val="00974A79"/>
    <w:rsid w:val="00983F1C"/>
    <w:rsid w:val="0098720A"/>
    <w:rsid w:val="00987666"/>
    <w:rsid w:val="009B117D"/>
    <w:rsid w:val="009B265E"/>
    <w:rsid w:val="009B273F"/>
    <w:rsid w:val="009B62F6"/>
    <w:rsid w:val="009C28DB"/>
    <w:rsid w:val="009F7282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A4669"/>
    <w:rsid w:val="00AA5A4E"/>
    <w:rsid w:val="00AB067D"/>
    <w:rsid w:val="00AC06C1"/>
    <w:rsid w:val="00AC7B35"/>
    <w:rsid w:val="00AD4BE8"/>
    <w:rsid w:val="00AE2704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67352"/>
    <w:rsid w:val="00C759DC"/>
    <w:rsid w:val="00C95D69"/>
    <w:rsid w:val="00CA1F4C"/>
    <w:rsid w:val="00CC2DED"/>
    <w:rsid w:val="00CC78A6"/>
    <w:rsid w:val="00CE12DB"/>
    <w:rsid w:val="00CE4F91"/>
    <w:rsid w:val="00CE7C32"/>
    <w:rsid w:val="00D16175"/>
    <w:rsid w:val="00D467EB"/>
    <w:rsid w:val="00D5337E"/>
    <w:rsid w:val="00D8047C"/>
    <w:rsid w:val="00D867A4"/>
    <w:rsid w:val="00D90CE9"/>
    <w:rsid w:val="00D9366D"/>
    <w:rsid w:val="00DA21F7"/>
    <w:rsid w:val="00DB345F"/>
    <w:rsid w:val="00DB6AD6"/>
    <w:rsid w:val="00DC005F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5A31"/>
    <w:rsid w:val="00F86262"/>
    <w:rsid w:val="00F91B09"/>
    <w:rsid w:val="00F97090"/>
    <w:rsid w:val="00FB7289"/>
    <w:rsid w:val="00FD217E"/>
    <w:rsid w:val="00FD287E"/>
    <w:rsid w:val="00FD69BA"/>
    <w:rsid w:val="2BDFEFD5"/>
    <w:rsid w:val="2F9B0328"/>
    <w:rsid w:val="3BBEC006"/>
    <w:rsid w:val="3FB98DAE"/>
    <w:rsid w:val="57AB2070"/>
    <w:rsid w:val="5BFA9A61"/>
    <w:rsid w:val="5FB9FD09"/>
    <w:rsid w:val="637E2A7C"/>
    <w:rsid w:val="68FBE52D"/>
    <w:rsid w:val="6AC9CD7D"/>
    <w:rsid w:val="6F7E7A24"/>
    <w:rsid w:val="6FCEC386"/>
    <w:rsid w:val="757EB72B"/>
    <w:rsid w:val="75ECB032"/>
    <w:rsid w:val="77F2D380"/>
    <w:rsid w:val="79677558"/>
    <w:rsid w:val="7BDCCA65"/>
    <w:rsid w:val="7BFF463B"/>
    <w:rsid w:val="7DF7CE3F"/>
    <w:rsid w:val="7EDF7F97"/>
    <w:rsid w:val="81B53690"/>
    <w:rsid w:val="85FF4CF0"/>
    <w:rsid w:val="8F6E1FEE"/>
    <w:rsid w:val="ACE70E17"/>
    <w:rsid w:val="AFBB6D3A"/>
    <w:rsid w:val="B53BB4A6"/>
    <w:rsid w:val="BBDE5E35"/>
    <w:rsid w:val="BBEC420B"/>
    <w:rsid w:val="BDBF2D1F"/>
    <w:rsid w:val="CC6F99FB"/>
    <w:rsid w:val="DE6C39DB"/>
    <w:rsid w:val="DEFD13D9"/>
    <w:rsid w:val="DF7D96D0"/>
    <w:rsid w:val="DFBFBEDE"/>
    <w:rsid w:val="EBBA3002"/>
    <w:rsid w:val="EFCB9FD9"/>
    <w:rsid w:val="F5E08176"/>
    <w:rsid w:val="F756F185"/>
    <w:rsid w:val="F7DFFC2F"/>
    <w:rsid w:val="F7FFD159"/>
    <w:rsid w:val="FAFAC535"/>
    <w:rsid w:val="FD7E11FD"/>
    <w:rsid w:val="FECF7E76"/>
    <w:rsid w:val="FEFBC737"/>
    <w:rsid w:val="FFEB8079"/>
    <w:rsid w:val="FFFF475D"/>
    <w:rsid w:val="FFFF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eastAsia="宋体"/>
      <w:sz w:val="44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8</Pages>
  <Words>379</Words>
  <Characters>2161</Characters>
  <Lines>18</Lines>
  <Paragraphs>5</Paragraphs>
  <TotalTime>42</TotalTime>
  <ScaleCrop>false</ScaleCrop>
  <LinksUpToDate>false</LinksUpToDate>
  <CharactersWithSpaces>2535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2020-08-17T17:23:00Z</dcterms:created>
  <dc:creator>办公室</dc:creator>
  <cp:lastModifiedBy>kylin</cp:lastModifiedBy>
  <cp:lastPrinted>2024-03-06T08:44:00Z</cp:lastPrinted>
  <dcterms:modified xsi:type="dcterms:W3CDTF">2024-03-08T10:02:26Z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