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rPr>
          <w:rFonts w:ascii="Times New Roman" w:hAnsi="Times New Roman" w:eastAsia="黑体" w:cs="Times New Roman"/>
          <w:sz w:val="40"/>
          <w:szCs w:val="48"/>
        </w:rPr>
      </w:pPr>
      <w:r>
        <w:rPr>
          <w:rFonts w:ascii="Times New Roman" w:hAnsi="Times New Roman" w:eastAsia="黑体" w:cs="Times New Roman"/>
          <w:sz w:val="40"/>
          <w:szCs w:val="48"/>
        </w:rPr>
        <w:t>202</w:t>
      </w:r>
      <w:r>
        <w:rPr>
          <w:rFonts w:hint="eastAsia" w:ascii="Times New Roman" w:hAnsi="Times New Roman" w:eastAsia="黑体" w:cs="Times New Roman"/>
          <w:sz w:val="40"/>
          <w:szCs w:val="48"/>
        </w:rPr>
        <w:t>3</w:t>
      </w:r>
      <w:r>
        <w:rPr>
          <w:rFonts w:ascii="Times New Roman" w:hAnsi="Times New Roman" w:eastAsia="黑体" w:cs="Times New Roman"/>
          <w:sz w:val="40"/>
          <w:szCs w:val="48"/>
        </w:rPr>
        <w:t>年天津市科学技术奖</w:t>
      </w:r>
      <w:r>
        <w:rPr>
          <w:rFonts w:hint="eastAsia" w:ascii="Times New Roman" w:hAnsi="Times New Roman" w:eastAsia="黑体" w:cs="Times New Roman"/>
          <w:sz w:val="40"/>
          <w:szCs w:val="48"/>
        </w:rPr>
        <w:t>提名项目</w:t>
      </w:r>
      <w:r>
        <w:rPr>
          <w:rFonts w:ascii="Times New Roman" w:hAnsi="Times New Roman" w:eastAsia="黑体" w:cs="Times New Roman"/>
          <w:sz w:val="40"/>
          <w:szCs w:val="48"/>
        </w:rPr>
        <w:t>公示</w:t>
      </w:r>
    </w:p>
    <w:p>
      <w:pPr>
        <w:spacing w:before="156" w:beforeLines="50" w:after="156" w:afterLines="50" w:line="360" w:lineRule="auto"/>
        <w:rPr>
          <w:rFonts w:ascii="Times New Roman" w:hAnsi="Times New Roman" w:eastAsia="仿宋" w:cs="Times New Roman"/>
          <w:color w:val="FF0000"/>
          <w:sz w:val="28"/>
          <w:szCs w:val="28"/>
        </w:rPr>
      </w:pPr>
      <w:r>
        <w:rPr>
          <w:rFonts w:hint="eastAsia" w:ascii="黑体" w:hAnsi="黑体" w:eastAsia="黑体" w:cs="黑体"/>
          <w:b/>
          <w:bCs/>
          <w:sz w:val="28"/>
          <w:szCs w:val="28"/>
        </w:rPr>
        <w:t>项目名称：</w:t>
      </w:r>
      <w:r>
        <w:rPr>
          <w:rFonts w:hint="eastAsia" w:ascii="Times New Roman" w:hAnsi="Times New Roman" w:eastAsia="仿宋" w:cs="Times New Roman"/>
          <w:sz w:val="28"/>
          <w:szCs w:val="28"/>
        </w:rPr>
        <w:t>中国汽车工况开发关键技术研究及应用</w:t>
      </w:r>
    </w:p>
    <w:p>
      <w:pPr>
        <w:spacing w:before="156" w:beforeLines="50" w:after="156" w:afterLines="50" w:line="360" w:lineRule="auto"/>
        <w:rPr>
          <w:rFonts w:ascii="Times New Roman" w:hAnsi="Times New Roman" w:eastAsia="仿宋" w:cs="Times New Roman"/>
          <w:sz w:val="28"/>
          <w:szCs w:val="28"/>
        </w:rPr>
      </w:pPr>
      <w:r>
        <w:rPr>
          <w:rFonts w:hint="eastAsia" w:ascii="黑体" w:hAnsi="黑体" w:eastAsia="黑体" w:cs="黑体"/>
          <w:b/>
          <w:bCs/>
          <w:sz w:val="28"/>
          <w:szCs w:val="28"/>
        </w:rPr>
        <w:t>提名奖项和等级：</w:t>
      </w:r>
      <w:r>
        <w:rPr>
          <w:rFonts w:hint="eastAsia" w:ascii="Times New Roman" w:hAnsi="Times New Roman" w:eastAsia="仿宋" w:cs="Times New Roman"/>
          <w:sz w:val="28"/>
          <w:szCs w:val="28"/>
        </w:rPr>
        <w:t>天津市科学技术进步奖，一等奖</w:t>
      </w:r>
    </w:p>
    <w:p>
      <w:pPr>
        <w:spacing w:before="156" w:beforeLines="50" w:after="156" w:afterLines="50" w:line="360" w:lineRule="auto"/>
        <w:rPr>
          <w:rFonts w:ascii="Times New Roman" w:hAnsi="Times New Roman" w:eastAsia="仿宋" w:cs="Times New Roman"/>
          <w:sz w:val="28"/>
          <w:szCs w:val="28"/>
        </w:rPr>
      </w:pPr>
      <w:r>
        <w:rPr>
          <w:rFonts w:hint="eastAsia" w:ascii="黑体" w:hAnsi="黑体" w:eastAsia="黑体" w:cs="黑体"/>
          <w:b/>
          <w:bCs/>
          <w:sz w:val="28"/>
          <w:szCs w:val="28"/>
        </w:rPr>
        <w:t>主要完成单位：</w:t>
      </w:r>
      <w:r>
        <w:rPr>
          <w:rFonts w:hint="eastAsia" w:ascii="Times New Roman" w:hAnsi="Times New Roman" w:eastAsia="仿宋" w:cs="Times New Roman"/>
          <w:sz w:val="28"/>
          <w:szCs w:val="28"/>
        </w:rPr>
        <w:t>中国汽车技术研究中心有限公司、中汽研汽车检验中心（天津）有限公司、南开大学、天津大学、一汽丰田汽车有限公司、长城汽车股份有限公司、重庆长安汽车股份有限公司</w:t>
      </w:r>
    </w:p>
    <w:p>
      <w:pPr>
        <w:spacing w:before="156" w:beforeLines="50" w:after="156" w:afterLines="50" w:line="360" w:lineRule="auto"/>
        <w:ind w:left="1687" w:hanging="1687" w:hangingChars="600"/>
        <w:rPr>
          <w:rFonts w:ascii="Times New Roman" w:hAnsi="Times New Roman" w:eastAsia="仿宋" w:cs="Times New Roman"/>
          <w:sz w:val="28"/>
          <w:szCs w:val="28"/>
        </w:rPr>
      </w:pPr>
      <w:r>
        <w:rPr>
          <w:rFonts w:ascii="黑体" w:hAnsi="黑体" w:eastAsia="黑体" w:cs="黑体"/>
          <w:b/>
          <w:bCs/>
          <w:sz w:val="28"/>
          <w:szCs w:val="28"/>
        </w:rPr>
        <w:t>主要完成人</w:t>
      </w:r>
      <w:r>
        <w:rPr>
          <w:rFonts w:hint="eastAsia" w:ascii="黑体" w:hAnsi="黑体" w:eastAsia="黑体" w:cs="黑体"/>
          <w:b/>
          <w:bCs/>
          <w:sz w:val="28"/>
          <w:szCs w:val="28"/>
        </w:rPr>
        <w:t>：</w:t>
      </w:r>
      <w:r>
        <w:rPr>
          <w:rFonts w:hint="eastAsia" w:ascii="Times New Roman" w:hAnsi="Times New Roman" w:eastAsia="仿宋" w:cs="Times New Roman"/>
          <w:sz w:val="28"/>
          <w:szCs w:val="28"/>
        </w:rPr>
        <w:t>吴志新、刘昱、毛洪钧、周华、卫海桥、李菁元、王兆、于晗正男、李孟良、韩建军、李书利、蒋平</w:t>
      </w:r>
    </w:p>
    <w:p>
      <w:pPr>
        <w:spacing w:before="156" w:beforeLines="50" w:after="156" w:afterLines="50" w:line="360" w:lineRule="auto"/>
        <w:rPr>
          <w:rFonts w:ascii="Times New Roman" w:hAnsi="Times New Roman" w:eastAsia="仿宋" w:cs="Times New Roman"/>
          <w:sz w:val="28"/>
          <w:szCs w:val="28"/>
        </w:rPr>
      </w:pPr>
      <w:r>
        <w:rPr>
          <w:rFonts w:hint="eastAsia" w:ascii="黑体" w:hAnsi="黑体" w:eastAsia="黑体" w:cs="黑体"/>
          <w:b/>
          <w:bCs/>
          <w:sz w:val="28"/>
          <w:szCs w:val="28"/>
        </w:rPr>
        <w:t>提名者：</w:t>
      </w:r>
      <w:r>
        <w:rPr>
          <w:rFonts w:hint="eastAsia" w:ascii="Times New Roman" w:hAnsi="Times New Roman" w:eastAsia="仿宋" w:cs="Times New Roman"/>
          <w:sz w:val="28"/>
          <w:szCs w:val="28"/>
        </w:rPr>
        <w:t>天津市东丽区人民政府</w:t>
      </w:r>
    </w:p>
    <w:p>
      <w:pPr>
        <w:spacing w:before="156" w:beforeLines="50" w:after="156" w:afterLines="50" w:line="360" w:lineRule="auto"/>
        <w:rPr>
          <w:rFonts w:ascii="黑体" w:hAnsi="黑体" w:eastAsia="黑体" w:cs="黑体"/>
          <w:b/>
          <w:bCs/>
          <w:sz w:val="28"/>
          <w:szCs w:val="28"/>
        </w:rPr>
      </w:pPr>
      <w:r>
        <w:rPr>
          <w:rFonts w:hint="eastAsia" w:ascii="黑体" w:hAnsi="黑体" w:eastAsia="黑体" w:cs="黑体"/>
          <w:b/>
          <w:bCs/>
          <w:sz w:val="28"/>
          <w:szCs w:val="28"/>
        </w:rPr>
        <w:t>项目简介及主要创新点：</w:t>
      </w:r>
    </w:p>
    <w:p>
      <w:pPr>
        <w:spacing w:before="156" w:beforeLines="50" w:after="156" w:afterLines="50"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汽车工况是汽车行业的一项重要共性基础技术，长期以来我国汽车研发和检测认证一直引用欧洲工况，所开发的车型不能适应中国实际交通场景，测试结果和实际使用差异较大，严重阻碍了我国汽车产业的发展。与此同时，由于我国幅员辽阔，气候差异大，交通情况复杂多变，构建满足覆盖性和代表性的全国统一的汽车工况难度极大。在五部委共1.3亿经费的支持下，由中汽中心牵头组织行业力量，聚焦我国自主汽车行驶工况开发、中国工况汽车标准体系创建和广义工况标定技术研发等重大共性基础难题，实现了我国汽车工况从无到有，成为世界第四大工况体系的跨越，取得以下创新成果：</w:t>
      </w:r>
    </w:p>
    <w:p>
      <w:pPr>
        <w:spacing w:before="156" w:beforeLines="50" w:after="156" w:afterLines="50"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1）发明了基于时空交通流模型的汽车行驶工况自动化开发方法。提出了基于多参数时空交通流模型的工况开发方法，解决了工况宏观权重量化和工况快速准确自动化生成的难题，建立了全球首个工况自动化开发系统，全面验证了中国工况的代表性、有效性、合理性。</w:t>
      </w:r>
    </w:p>
    <w:p>
      <w:pPr>
        <w:spacing w:before="156" w:beforeLines="50" w:after="156" w:afterLines="50"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（2）创建了能耗、排放、噪声、可靠性等多领域的工况试验方法，被联合国R51法规采纳。创新引入了出行链理论，提出了</w:t>
      </w:r>
      <w:r>
        <w:rPr>
          <w:rFonts w:ascii="Times New Roman" w:hAnsi="Times New Roman" w:eastAsia="仿宋" w:cs="Times New Roman"/>
          <w:color w:val="000000" w:themeColor="text1"/>
          <w:sz w:val="28"/>
          <w:szCs w:val="28"/>
          <w14:textFill>
            <w14:solidFill>
              <w14:schemeClr w14:val="tx1"/>
            </w14:solidFill>
          </w14:textFill>
        </w:rPr>
        <w:t>基于我国车辆出行和充电特征的混合动力汽车综合能耗效用系数，</w:t>
      </w:r>
      <w:r>
        <w:rPr>
          <w:rFonts w:hint="eastAsia" w:ascii="Times New Roman" w:hAnsi="Times New Roman" w:eastAsia="仿宋" w:cs="Times New Roman"/>
          <w:color w:val="000000" w:themeColor="text1"/>
          <w:sz w:val="28"/>
          <w:szCs w:val="28"/>
          <w14:textFill>
            <w14:solidFill>
              <w14:schemeClr w14:val="tx1"/>
            </w14:solidFill>
          </w14:textFill>
        </w:rPr>
        <w:t>建立了涉及检测认证和产品开发，覆盖整车和零部件的中国工况标准体系。</w:t>
      </w:r>
    </w:p>
    <w:p>
      <w:pPr>
        <w:spacing w:before="156" w:beforeLines="50" w:after="156" w:afterLines="50"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3）研发了基于广义工况的场景协同标定技术。提出了基于工况识别的变参数自适应控制方法，解决了适应实际复杂交通状况的难题；提出了以相对正加速度为激烈驾驶程度的度量指标，解决了实际道路排放（RDE）标定难和开发周期长的难题，实现了RDE的试验室标定。</w:t>
      </w:r>
    </w:p>
    <w:p>
      <w:pPr>
        <w:spacing w:before="156" w:beforeLines="50" w:after="156" w:afterLines="50" w:line="360" w:lineRule="auto"/>
        <w:ind w:firstLine="560" w:firstLineChars="200"/>
        <w:rPr>
          <w:rFonts w:ascii="黑体" w:hAnsi="黑体" w:eastAsia="黑体" w:cs="黑体"/>
          <w:b/>
          <w:bCs/>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color w:val="000000" w:themeColor="text1"/>
          <w:sz w:val="28"/>
          <w:szCs w:val="28"/>
          <w14:textFill>
            <w14:solidFill>
              <w14:schemeClr w14:val="tx1"/>
            </w14:solidFill>
          </w14:textFill>
        </w:rPr>
        <w:t>项目首次建立了我国自主的汽车工况，与欧、美、日工况并列为世界四大工况，显著提升了汽车领域国际话语权；创建了中国工况标准体系，为政府管控提供了准确的标尺，为我国汽车产业转型升级和可持续发展提供有了力支撑；项目成果指导车辆技术开发，车辆节油效果显著，对于落实“双碳”战略，保障国家能源安全具有重要意义。完成单位共计创收10.3亿元，经济效益和社会效益显著。</w:t>
      </w:r>
      <w:r>
        <w:rPr>
          <w:rFonts w:hint="eastAsia" w:ascii="黑体" w:hAnsi="黑体" w:eastAsia="黑体" w:cs="黑体"/>
          <w:b/>
          <w:bCs/>
          <w:sz w:val="28"/>
          <w:szCs w:val="28"/>
        </w:rPr>
        <w:br w:type="page"/>
      </w:r>
    </w:p>
    <w:p>
      <w:pPr>
        <w:tabs>
          <w:tab w:val="left" w:pos="9450"/>
        </w:tabs>
        <w:spacing w:before="156" w:beforeLines="50" w:after="156" w:afterLines="50" w:line="360" w:lineRule="auto"/>
        <w:jc w:val="center"/>
        <w:outlineLvl w:val="0"/>
        <w:rPr>
          <w:rFonts w:ascii="黑体" w:hAnsi="黑体" w:eastAsia="黑体" w:cs="黑体"/>
          <w:b/>
          <w:bCs/>
          <w:sz w:val="28"/>
          <w:szCs w:val="28"/>
          <w:shd w:val="clear" w:color="auto" w:fill="000000"/>
        </w:rPr>
      </w:pPr>
      <w:r>
        <w:rPr>
          <w:rFonts w:hint="eastAsia" w:ascii="黑体" w:hAnsi="黑体" w:eastAsia="黑体" w:cs="黑体"/>
          <w:b/>
          <w:bCs/>
          <w:sz w:val="28"/>
          <w:szCs w:val="28"/>
        </w:rPr>
        <w:t>主要技术支撑材料</w:t>
      </w:r>
    </w:p>
    <w:p>
      <w:pPr>
        <w:snapToGrid w:val="0"/>
        <w:spacing w:line="400" w:lineRule="exact"/>
        <w:jc w:val="center"/>
        <w:outlineLvl w:val="0"/>
        <w:rPr>
          <w:rFonts w:eastAsia="黑体"/>
          <w:sz w:val="32"/>
        </w:rPr>
      </w:pPr>
      <w:r>
        <w:rPr>
          <w:rFonts w:hint="eastAsia" w:eastAsia="黑体"/>
          <w:sz w:val="32"/>
        </w:rPr>
        <w:t>（一）代表性论文（专著）</w:t>
      </w:r>
    </w:p>
    <w:p>
      <w:pPr>
        <w:spacing w:line="100" w:lineRule="exact"/>
        <w:jc w:val="center"/>
        <w:rPr>
          <w:rFonts w:eastAsia="黑体"/>
          <w:sz w:val="32"/>
        </w:rPr>
      </w:pPr>
    </w:p>
    <w:tbl>
      <w:tblPr>
        <w:tblStyle w:val="5"/>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附件编号</w:t>
            </w:r>
          </w:p>
        </w:tc>
        <w:tc>
          <w:tcPr>
            <w:tcW w:w="396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影响因子</w:t>
            </w:r>
          </w:p>
        </w:tc>
        <w:tc>
          <w:tcPr>
            <w:tcW w:w="1247"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年卷页码</w:t>
            </w:r>
          </w:p>
        </w:tc>
        <w:tc>
          <w:tcPr>
            <w:tcW w:w="119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发表时间</w:t>
            </w:r>
          </w:p>
        </w:tc>
        <w:tc>
          <w:tcPr>
            <w:tcW w:w="119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通讯作者</w:t>
            </w:r>
          </w:p>
        </w:tc>
        <w:tc>
          <w:tcPr>
            <w:tcW w:w="1191" w:type="dxa"/>
            <w:tcBorders>
              <w:top w:val="single" w:color="auto" w:sz="4" w:space="0"/>
              <w:left w:val="single" w:color="auto" w:sz="4" w:space="0"/>
              <w:bottom w:val="single" w:color="auto" w:sz="4" w:space="0"/>
              <w:right w:val="single" w:color="000000"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第一作者</w:t>
            </w:r>
          </w:p>
        </w:tc>
        <w:tc>
          <w:tcPr>
            <w:tcW w:w="2348" w:type="dxa"/>
            <w:tcBorders>
              <w:top w:val="single" w:color="auto" w:sz="4" w:space="0"/>
              <w:left w:val="single" w:color="000000"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国内作者</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他引次数</w:t>
            </w:r>
          </w:p>
        </w:tc>
        <w:tc>
          <w:tcPr>
            <w:tcW w:w="96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检索数据库</w:t>
            </w:r>
          </w:p>
        </w:tc>
        <w:tc>
          <w:tcPr>
            <w:tcW w:w="96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Development of China light-duty vehicle test cycle/《International Journal of Automotive Technology》/刘昱、吴志新、周华、于晗正男、安晓盼、李菁元、李孟良</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1.6</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2020,21(5):1233-1246</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2020-10</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刘昱、吴志新、周华、于晗正男、安晓盼、李菁元、李孟良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Vehicle emissions in a middle-sized city of China: Current status and future trends/《Environment international》/孙世达、金嘉欣、夏门、刘一鸣、高萌、邹超、王婷、林英超、吴琳、毛洪钧、王芃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11.8</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2020,137:105514</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2020-0</w:t>
            </w:r>
            <w:r>
              <w:rPr>
                <w:rFonts w:hint="eastAsia" w:asciiTheme="minorEastAsia" w:hAnsiTheme="minorEastAsia" w:cstheme="minorEastAsia"/>
                <w:szCs w:val="21"/>
                <w:lang w:val="en-US" w:eastAsia="zh-CN"/>
              </w:rPr>
              <w:t>4</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毛洪钧</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孙世达</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孙世达、金嘉欣、夏门、刘一鸣、高萌、邹超、王婷、林英超、吴琳、毛洪钧、王芃</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Real-Road Driving and Fuel Consumption Characteristics of Public Buses in Southern China/《International Journal of Automotive Technology》/于晗正男、刘昱、李菁元、刘海、马琨其</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1.6</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2020,21(1):33-40</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2020-02</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于晗正男</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于晗正男</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于晗正男、刘昱、李菁元、刘海、马琨其</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i/>
                <w:iCs/>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A novel data-driven controller for plug-in hybrid electric vehicles with improved adaptabilities to driving environment/《Journal of Cleaner Production》/刘昱、张远见、于晗正男、聂枝根、刘永刚、陈铮</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11.1</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2021,334:130250</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2022-02</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陈铮</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刘昱、于晗正男、聂枝根、刘永刚、陈铮</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State of charge prediction framework for lithium-ion batteries incorporating long short-term memory network and transfer learning/《Journal of Energy Storage》/刘昱、舒星、于晗正男、申江卫、张远见、刘永刚、陈铮</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8.9</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2021</w:t>
            </w:r>
            <w:r>
              <w:rPr>
                <w:rFonts w:hint="eastAsia" w:asciiTheme="minorEastAsia" w:hAnsiTheme="minorEastAsia" w:cstheme="minorEastAsia"/>
                <w:szCs w:val="21"/>
                <w:lang w:val="en-US" w:eastAsia="zh-CN"/>
              </w:rPr>
              <w:t>,37:102494</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2021</w:t>
            </w:r>
            <w:r>
              <w:rPr>
                <w:rFonts w:hint="eastAsia" w:asciiTheme="minorEastAsia" w:hAnsiTheme="minorEastAsia" w:cstheme="minorEastAsia"/>
                <w:szCs w:val="21"/>
                <w:lang w:val="en-US" w:eastAsia="zh-CN"/>
              </w:rPr>
              <w:t>-05</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舒星</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刘昱、舒星、于晗正男、申江卫、</w:t>
            </w:r>
            <w:bookmarkStart w:id="0" w:name="_GoBack"/>
            <w:bookmarkEnd w:id="0"/>
            <w:r>
              <w:rPr>
                <w:rFonts w:hint="eastAsia" w:asciiTheme="minorEastAsia" w:hAnsiTheme="minorEastAsia" w:cstheme="minorEastAsia"/>
                <w:szCs w:val="21"/>
              </w:rPr>
              <w:t>刘永刚、陈铮</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6</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Effects of applying a Miller cycle with split injection on engine performance and knock resistance in a downsized gasoline engine/《Fuel》/卫海桥、邵爱芳、华剑雄、周磊、冯登全</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7.4</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2018,214:98-107</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2018-02</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卫海桥</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卫海桥</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卫海桥、邵爱芳、华剑雄、周磊、冯登全</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Air pollutant emissions from on-road vehicles and their control in Inner Mongolia, China/《Energy》/刘庚、孙世达、邹超、王博、吴琳、毛洪钧</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9.0</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2022,238:121724</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2022-01</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毛洪钧</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刘庚</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刘庚、孙世达、邹超、王博、吴琳、毛洪钧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SCI</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8</w:t>
            </w:r>
          </w:p>
        </w:tc>
        <w:tc>
          <w:tcPr>
            <w:tcW w:w="396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乘用车第四阶段油耗法规及对策/《汽车工程师》/韩建军</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2016(08):14-17</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2016-05</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韩建军</w:t>
            </w:r>
          </w:p>
        </w:tc>
        <w:tc>
          <w:tcPr>
            <w:tcW w:w="1191"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韩建军</w:t>
            </w:r>
          </w:p>
        </w:tc>
        <w:tc>
          <w:tcPr>
            <w:tcW w:w="2348" w:type="dxa"/>
            <w:tcBorders>
              <w:top w:val="single" w:color="auto" w:sz="4" w:space="0"/>
              <w:left w:val="single" w:color="000000"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韩建军</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否</w:t>
            </w:r>
          </w:p>
        </w:tc>
      </w:tr>
    </w:tbl>
    <w:p>
      <w:pPr>
        <w:spacing w:line="400" w:lineRule="exact"/>
        <w:jc w:val="center"/>
        <w:outlineLvl w:val="0"/>
        <w:rPr>
          <w:rFonts w:eastAsia="黑体"/>
          <w:sz w:val="32"/>
        </w:rPr>
      </w:pPr>
    </w:p>
    <w:p>
      <w:pPr>
        <w:spacing w:line="400" w:lineRule="exact"/>
        <w:jc w:val="center"/>
        <w:outlineLvl w:val="0"/>
        <w:rPr>
          <w:rFonts w:eastAsia="黑体"/>
          <w:sz w:val="32"/>
        </w:rPr>
      </w:pPr>
      <w:r>
        <w:rPr>
          <w:rFonts w:hint="eastAsia" w:eastAsia="黑体"/>
          <w:sz w:val="32"/>
        </w:rPr>
        <w:t>（二）知识产权和标准规范</w:t>
      </w:r>
    </w:p>
    <w:p>
      <w:pPr>
        <w:spacing w:line="100" w:lineRule="exact"/>
        <w:jc w:val="center"/>
        <w:rPr>
          <w:rFonts w:eastAsia="黑体"/>
          <w:sz w:val="32"/>
        </w:rPr>
      </w:pPr>
    </w:p>
    <w:p>
      <w:pPr>
        <w:spacing w:line="100" w:lineRule="exact"/>
        <w:rPr>
          <w:rFonts w:eastAsia="黑体"/>
          <w:b/>
          <w:sz w:val="32"/>
        </w:rPr>
      </w:pPr>
    </w:p>
    <w:tbl>
      <w:tblPr>
        <w:tblStyle w:val="5"/>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知识产权（标准）</w:t>
            </w:r>
          </w:p>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国家</w:t>
            </w:r>
          </w:p>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授权号</w:t>
            </w:r>
          </w:p>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left="1"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权利人</w:t>
            </w:r>
          </w:p>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发明人</w:t>
            </w:r>
          </w:p>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2"/>
              <w:spacing w:line="240" w:lineRule="exact"/>
              <w:ind w:firstLine="0" w:firstLineChars="0"/>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国家标准</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中国汽车行驶工况 第1部分:轻型汽车</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GB/T 38146.1-2019</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2019-10-18</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国家市场监督管理总局、中国国家标准化管理委员会</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吴志新、李孟良、周华、王兆、刘昱、李菁元、于晗正男等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国家标准</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中国汽车行驶工况 第2部分:重型商用车辆</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GB/T 38146.2-2019</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2021-10-18</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国家市场监督管理总局、国家标准化管理委员会</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吴志新、李孟良、周华、王兆、刘昱、李菁元、于晗正男等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国际标准</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Noise of M and N categories of vehicles</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联合国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UN Regulation No.51</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2021-11-26</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Economic and Social Council</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谢东明、刘昱、胡熙等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一种实际道路行驶工况库及构建方法</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ZL201910199078.3</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2021-10-15</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4732991</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中国汽车技术研究中心有限公司、中汽研汽车检验中心（天津）有限公司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吴志新、刘昱、李孟良、李菁元、于晗正男等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一种车辆行驶工况构建方法</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ZL201710272568.2</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2020-04-21</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3766925</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刘昱、李孟良等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asciiTheme="minorEastAsia" w:hAnsiTheme="minorEastAsia" w:cstheme="minorEastAsia"/>
                <w:szCs w:val="21"/>
              </w:rPr>
              <w:t>6</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作業条件の切り替えの車両の燃料消費量に対する影響の評価方法</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日本</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P2022-126795</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2023-07-21</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7318076</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中汽研汽车检验中心（天津）有限公司、中国汽车技术研究中心有限公司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刘昱、李菁元、于晗正男等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asciiTheme="minorEastAsia" w:hAnsiTheme="minorEastAsia" w:cstheme="minorEastAsia"/>
                <w:szCs w:val="21"/>
              </w:rPr>
              <w:t>7</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基于GIS大数据的工况权重因子获取方法及装置</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ZL202011127726.3</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2022-04-26</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5109546</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中国汽车技术研究中心有限公司、中汽研汽车检验中心（天津）有限公司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于晗正男、刘昱、李菁元等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asciiTheme="minorEastAsia" w:hAnsiTheme="minorEastAsia" w:cstheme="minorEastAsia"/>
                <w:szCs w:val="21"/>
              </w:rPr>
              <w:t>8</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车载重量预测方法及系统、电子设备、介质</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ZL202110001692.1</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2022-06-17</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5241050</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中国汽车技术研究中心有限公司、中汽研汽车检验中心（天津）有限公司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刘昱、李菁元、于晗正男、李孟良等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9</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车辆档位自动控制方法、装置及车辆</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ZL202010364996.X</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2022-05-06</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5132834</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长城汽车股份有限公司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李书利等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3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发明专利</w:t>
            </w:r>
          </w:p>
        </w:tc>
        <w:tc>
          <w:tcPr>
            <w:tcW w:w="2148"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一种基于插值计算的电喷系统闭环自学习控制方法</w:t>
            </w:r>
          </w:p>
        </w:tc>
        <w:tc>
          <w:tcPr>
            <w:tcW w:w="1191"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中国</w:t>
            </w:r>
          </w:p>
        </w:tc>
        <w:tc>
          <w:tcPr>
            <w:tcW w:w="215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ZL202010501225.0</w:t>
            </w:r>
          </w:p>
        </w:tc>
        <w:tc>
          <w:tcPr>
            <w:tcW w:w="164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2020-06-04</w:t>
            </w:r>
          </w:p>
        </w:tc>
        <w:tc>
          <w:tcPr>
            <w:tcW w:w="1369"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4989576</w:t>
            </w:r>
          </w:p>
        </w:tc>
        <w:tc>
          <w:tcPr>
            <w:tcW w:w="2424"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重庆长安汽车股份有限公司</w:t>
            </w:r>
          </w:p>
        </w:tc>
        <w:tc>
          <w:tcPr>
            <w:tcW w:w="1977" w:type="dxa"/>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蒋平等</w:t>
            </w:r>
          </w:p>
        </w:tc>
        <w:tc>
          <w:tcPr>
            <w:tcW w:w="73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有效</w:t>
            </w:r>
          </w:p>
        </w:tc>
      </w:tr>
    </w:tbl>
    <w:p>
      <w:pPr>
        <w:spacing w:line="360" w:lineRule="auto"/>
        <w:rPr>
          <w:rFonts w:ascii="Times New Roman" w:hAnsi="Times New Roman" w:eastAsia="仿宋" w:cs="Times New Roman"/>
          <w:sz w:val="28"/>
          <w:szCs w:val="36"/>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zOTM3YmY5MDU0NTNhMmI4NmFkMjY2OWEwZDcyMGMifQ=="/>
  </w:docVars>
  <w:rsids>
    <w:rsidRoot w:val="004417D5"/>
    <w:rsid w:val="00011FD1"/>
    <w:rsid w:val="00015916"/>
    <w:rsid w:val="0002645B"/>
    <w:rsid w:val="00073DB2"/>
    <w:rsid w:val="00084FD6"/>
    <w:rsid w:val="0016313C"/>
    <w:rsid w:val="001B6E37"/>
    <w:rsid w:val="002F5BF4"/>
    <w:rsid w:val="003364DE"/>
    <w:rsid w:val="003403B8"/>
    <w:rsid w:val="00423190"/>
    <w:rsid w:val="004417D5"/>
    <w:rsid w:val="00461A7E"/>
    <w:rsid w:val="004808A5"/>
    <w:rsid w:val="004B1434"/>
    <w:rsid w:val="00511174"/>
    <w:rsid w:val="0054222C"/>
    <w:rsid w:val="00570E99"/>
    <w:rsid w:val="005A13B3"/>
    <w:rsid w:val="005D01C4"/>
    <w:rsid w:val="005D21BA"/>
    <w:rsid w:val="005F28DB"/>
    <w:rsid w:val="00620B59"/>
    <w:rsid w:val="006A3116"/>
    <w:rsid w:val="00740B9E"/>
    <w:rsid w:val="00784C30"/>
    <w:rsid w:val="007E6370"/>
    <w:rsid w:val="007F034C"/>
    <w:rsid w:val="008053AC"/>
    <w:rsid w:val="0088008B"/>
    <w:rsid w:val="00904DEE"/>
    <w:rsid w:val="00A05799"/>
    <w:rsid w:val="00A35761"/>
    <w:rsid w:val="00B333B6"/>
    <w:rsid w:val="00B96ED8"/>
    <w:rsid w:val="00C573D4"/>
    <w:rsid w:val="00C7408E"/>
    <w:rsid w:val="00F97D70"/>
    <w:rsid w:val="00FE1292"/>
    <w:rsid w:val="01050F22"/>
    <w:rsid w:val="019D70F9"/>
    <w:rsid w:val="01D95F0B"/>
    <w:rsid w:val="05312058"/>
    <w:rsid w:val="06A72A7B"/>
    <w:rsid w:val="08D84A41"/>
    <w:rsid w:val="0AF05F73"/>
    <w:rsid w:val="0C3B1CD9"/>
    <w:rsid w:val="0CCE583C"/>
    <w:rsid w:val="109E333B"/>
    <w:rsid w:val="115A66FE"/>
    <w:rsid w:val="125A2AC4"/>
    <w:rsid w:val="12C66822"/>
    <w:rsid w:val="14734ACF"/>
    <w:rsid w:val="14B209F3"/>
    <w:rsid w:val="15E05662"/>
    <w:rsid w:val="182A0E16"/>
    <w:rsid w:val="18F70B5A"/>
    <w:rsid w:val="193C7053"/>
    <w:rsid w:val="19B40CF7"/>
    <w:rsid w:val="1A064FFD"/>
    <w:rsid w:val="1A5604D5"/>
    <w:rsid w:val="1AC63B93"/>
    <w:rsid w:val="1B0847D3"/>
    <w:rsid w:val="1B234041"/>
    <w:rsid w:val="1DDF2DBF"/>
    <w:rsid w:val="20A83647"/>
    <w:rsid w:val="20E1571C"/>
    <w:rsid w:val="215E0103"/>
    <w:rsid w:val="21D03C4E"/>
    <w:rsid w:val="21E437AC"/>
    <w:rsid w:val="22FE1475"/>
    <w:rsid w:val="22FE5379"/>
    <w:rsid w:val="253F2D10"/>
    <w:rsid w:val="27D65688"/>
    <w:rsid w:val="2B860EC4"/>
    <w:rsid w:val="2E9B10AC"/>
    <w:rsid w:val="2F77098D"/>
    <w:rsid w:val="30841E77"/>
    <w:rsid w:val="31311465"/>
    <w:rsid w:val="318854CA"/>
    <w:rsid w:val="31B1056C"/>
    <w:rsid w:val="328B3806"/>
    <w:rsid w:val="35624A43"/>
    <w:rsid w:val="381D1428"/>
    <w:rsid w:val="384E3A24"/>
    <w:rsid w:val="3A4B4EF0"/>
    <w:rsid w:val="3C5F3091"/>
    <w:rsid w:val="3DDF607B"/>
    <w:rsid w:val="43DD4E0B"/>
    <w:rsid w:val="44B02520"/>
    <w:rsid w:val="45570BED"/>
    <w:rsid w:val="478A71EC"/>
    <w:rsid w:val="48B87FA9"/>
    <w:rsid w:val="48F549A5"/>
    <w:rsid w:val="4E3441C2"/>
    <w:rsid w:val="4F8E69BB"/>
    <w:rsid w:val="542919A7"/>
    <w:rsid w:val="5455279C"/>
    <w:rsid w:val="566B44F9"/>
    <w:rsid w:val="5C730C66"/>
    <w:rsid w:val="5D566EFF"/>
    <w:rsid w:val="602413BB"/>
    <w:rsid w:val="61E50313"/>
    <w:rsid w:val="62D338FA"/>
    <w:rsid w:val="65652530"/>
    <w:rsid w:val="66F546A7"/>
    <w:rsid w:val="69A87B8C"/>
    <w:rsid w:val="6A883473"/>
    <w:rsid w:val="6BA8793F"/>
    <w:rsid w:val="6F7D12CD"/>
    <w:rsid w:val="6FB55E55"/>
    <w:rsid w:val="708E2E66"/>
    <w:rsid w:val="726A16B0"/>
    <w:rsid w:val="72A0030D"/>
    <w:rsid w:val="72F84839"/>
    <w:rsid w:val="74F74160"/>
    <w:rsid w:val="760B4965"/>
    <w:rsid w:val="77241AE3"/>
    <w:rsid w:val="79203B4E"/>
    <w:rsid w:val="7AED22AC"/>
    <w:rsid w:val="7D6A07B6"/>
    <w:rsid w:val="7E342687"/>
    <w:rsid w:val="7F2A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0B712-1D95-4288-B8AA-1777EFCE13AC}">
  <ds:schemaRefs/>
</ds:datastoreItem>
</file>

<file path=customXml/itemProps3.xml><?xml version="1.0" encoding="utf-8"?>
<ds:datastoreItem xmlns:ds="http://schemas.openxmlformats.org/officeDocument/2006/customXml" ds:itemID="{CFD844E3-407B-44F0-8EBE-51592E5F19C9}">
  <ds:schemaRefs/>
</ds:datastoreItem>
</file>

<file path=docProps/app.xml><?xml version="1.0" encoding="utf-8"?>
<Properties xmlns="http://schemas.openxmlformats.org/officeDocument/2006/extended-properties" xmlns:vt="http://schemas.openxmlformats.org/officeDocument/2006/docPropsVTypes">
  <Template>Normal</Template>
  <Pages>5</Pages>
  <Words>613</Words>
  <Characters>3498</Characters>
  <Lines>29</Lines>
  <Paragraphs>8</Paragraphs>
  <TotalTime>12</TotalTime>
  <ScaleCrop>false</ScaleCrop>
  <LinksUpToDate>false</LinksUpToDate>
  <CharactersWithSpaces>4103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2023-08-10T12:23:00Z</dcterms:created>
  <dc:creator>Thinkpad</dc:creator>
  <cp:lastModifiedBy>赵硕</cp:lastModifiedBy>
  <dcterms:modified xsi:type="dcterms:W3CDTF">2023-08-11T02:00:34Z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D03ABE2949DF4C4D958E24466F5D1C20</vt:lpwstr>
  </property>
</Properties>
</file>