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0703" w14:textId="0018230A" w:rsidR="0022658E" w:rsidRDefault="0022658E" w:rsidP="00881432">
      <w:pPr>
        <w:pStyle w:val="1"/>
        <w:spacing w:beforeLines="50" w:before="156" w:afterLines="50" w:after="156" w:line="500" w:lineRule="exact"/>
        <w:jc w:val="center"/>
        <w:rPr>
          <w:rFonts w:ascii="黑体" w:eastAsia="黑体" w:hAnsi="黑体"/>
          <w:b/>
          <w:i w:val="0"/>
          <w:sz w:val="36"/>
          <w:szCs w:val="36"/>
        </w:rPr>
      </w:pPr>
      <w:r w:rsidRPr="00881432">
        <w:rPr>
          <w:rFonts w:ascii="黑体" w:eastAsia="黑体" w:hAnsi="黑体" w:hint="eastAsia"/>
          <w:b/>
          <w:i w:val="0"/>
          <w:sz w:val="36"/>
          <w:szCs w:val="36"/>
        </w:rPr>
        <w:t>项目公示</w:t>
      </w:r>
      <w:r w:rsidR="008E68FF">
        <w:rPr>
          <w:rFonts w:ascii="黑体" w:eastAsia="黑体" w:hAnsi="黑体" w:hint="eastAsia"/>
          <w:b/>
          <w:i w:val="0"/>
          <w:sz w:val="36"/>
          <w:szCs w:val="36"/>
        </w:rPr>
        <w:t>（单位提名）</w:t>
      </w:r>
    </w:p>
    <w:p w14:paraId="027BF61C" w14:textId="1A1B046F" w:rsidR="00881432" w:rsidRPr="006B158C" w:rsidRDefault="00881432" w:rsidP="007628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一、项目名称：</w:t>
      </w:r>
      <w:proofErr w:type="gramStart"/>
      <w:r w:rsidR="00341A1D" w:rsidRPr="006B158C">
        <w:rPr>
          <w:rFonts w:ascii="Times New Roman" w:eastAsia="仿宋_GB2312" w:hAnsi="Times New Roman" w:cs="Times New Roman"/>
          <w:sz w:val="28"/>
          <w:szCs w:val="28"/>
        </w:rPr>
        <w:t>钛氧团簇</w:t>
      </w:r>
      <w:proofErr w:type="gramEnd"/>
      <w:r w:rsidR="00341A1D" w:rsidRPr="006B158C">
        <w:rPr>
          <w:rFonts w:ascii="Times New Roman" w:eastAsia="仿宋_GB2312" w:hAnsi="Times New Roman" w:cs="Times New Roman"/>
          <w:sz w:val="28"/>
          <w:szCs w:val="28"/>
        </w:rPr>
        <w:t>的设计合成与功能应用</w:t>
      </w:r>
    </w:p>
    <w:p w14:paraId="667B68C0" w14:textId="19FA54B4" w:rsidR="00881432" w:rsidRPr="006B158C" w:rsidRDefault="00881432" w:rsidP="007628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二、提名奖种：</w:t>
      </w:r>
      <w:r w:rsidR="00AE5B13">
        <w:rPr>
          <w:rFonts w:ascii="Times New Roman" w:eastAsia="仿宋_GB2312" w:hAnsi="Times New Roman" w:cs="Times New Roman" w:hint="eastAsia"/>
          <w:sz w:val="28"/>
          <w:szCs w:val="28"/>
        </w:rPr>
        <w:t>福建省</w:t>
      </w:r>
      <w:r w:rsidR="00341A1D" w:rsidRPr="006B158C">
        <w:rPr>
          <w:rFonts w:ascii="Times New Roman" w:eastAsia="仿宋_GB2312" w:hAnsi="Times New Roman" w:cs="Times New Roman"/>
          <w:sz w:val="28"/>
          <w:szCs w:val="28"/>
        </w:rPr>
        <w:t>自然科学奖</w:t>
      </w:r>
    </w:p>
    <w:p w14:paraId="0BFAFDA0" w14:textId="412ABF81" w:rsidR="00881432" w:rsidRPr="006B158C" w:rsidRDefault="00881432" w:rsidP="007628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三、提名单位：</w:t>
      </w:r>
      <w:r w:rsidR="00341A1D" w:rsidRPr="006B158C">
        <w:rPr>
          <w:rFonts w:ascii="Times New Roman" w:eastAsia="仿宋_GB2312" w:hAnsi="Times New Roman" w:cs="Times New Roman"/>
          <w:sz w:val="28"/>
          <w:szCs w:val="28"/>
        </w:rPr>
        <w:t>中国科学院福建物质结构研究所</w:t>
      </w:r>
    </w:p>
    <w:p w14:paraId="5AE0E31A" w14:textId="1B511B6E" w:rsidR="00881432" w:rsidRPr="006B158C" w:rsidRDefault="00881432" w:rsidP="007628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四、项目简介：</w:t>
      </w:r>
    </w:p>
    <w:p w14:paraId="730733CA" w14:textId="7C677346" w:rsidR="00341A1D" w:rsidRPr="006B158C" w:rsidRDefault="00341A1D" w:rsidP="00762836">
      <w:pPr>
        <w:adjustRightInd w:val="0"/>
        <w:snapToGrid w:val="0"/>
        <w:spacing w:line="360" w:lineRule="auto"/>
        <w:ind w:firstLineChars="200" w:firstLine="560"/>
        <w:rPr>
          <w:rStyle w:val="aa"/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二氧化钛材料被广泛应用于催化领域，对开发清洁能源及降低环境污染等具有重要研究意义。作为二氧化钛材料的结构与性能模型分子，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钛氧团簇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已经成为国际化学与材料领域的研究热点之一。本项目成功构建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了钛氧团簇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的结构设计策略；进而发展了有效的合成方法，实现了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钛氧簇的簇核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结构与表面结构的精确调控，拓展了其催化应用，建立起明确的结构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-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性能关系规律。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在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钛氧团簇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研究领域取得了世界领先的研究成果：</w:t>
      </w:r>
    </w:p>
    <w:p w14:paraId="765AD08E" w14:textId="77777777" w:rsidR="00341A1D" w:rsidRPr="006B158C" w:rsidRDefault="00341A1D" w:rsidP="00762836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</w:pP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（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1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）提出了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“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配位延迟水解（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CDH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）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”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合成策略，解决了氧化钛材料形成过程中成簇结晶难题：利用有机配体的保护作用抑制钛离子的快速无序水解，实现了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钛氧簇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的可控晶体生长，成功合成系列结构新颖的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钛氧簇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，包括首例同分异构的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Ti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  <w:vertAlign w:val="subscript"/>
        </w:rPr>
        <w:t>20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氧簇，首例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类富勒烯型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Ti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  <w:vertAlign w:val="subscript"/>
        </w:rPr>
        <w:t>42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氧簇和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目前最高核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Ti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  <w:vertAlign w:val="subscript"/>
        </w:rPr>
        <w:t>52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氧簇（代表性论文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1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、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2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），极大促进了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钛氧簇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合成化学的发展。</w:t>
      </w:r>
    </w:p>
    <w:p w14:paraId="14FFC150" w14:textId="61C2F0FE" w:rsidR="00341A1D" w:rsidRPr="006B158C" w:rsidRDefault="00341A1D" w:rsidP="00762836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Style w:val="aa"/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（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2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）发展了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钛氧簇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的结构调控策略，奠定了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钛氧簇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的功能应用基础：利用活性配位点思想，系统研究了不同功能有机配体</w:t>
      </w:r>
      <w:proofErr w:type="gramStart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对钛氧簇</w:t>
      </w:r>
      <w:proofErr w:type="gramEnd"/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表面的化学修饰，实现了其能带结构和催化活性的调控与优化；利用共轭配体修饰获得了可见光驱动催化活性（代表性论文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3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）。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以</w:t>
      </w:r>
      <w:proofErr w:type="gramStart"/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钛氧簇</w:t>
      </w:r>
      <w:proofErr w:type="gramEnd"/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t>为功能基元，成功构筑具有协同效应的复合功能材料，实现了无贵</w:t>
      </w:r>
      <w:r w:rsidRPr="006B158C"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金属助催化剂条件下的高效可见光驱动分解水产氢</w:t>
      </w:r>
      <w:r w:rsidRPr="006B158C">
        <w:rPr>
          <w:rStyle w:val="aa"/>
          <w:rFonts w:ascii="Times New Roman" w:eastAsia="仿宋_GB2312" w:hAnsi="Times New Roman" w:cs="Times New Roman"/>
          <w:sz w:val="28"/>
          <w:szCs w:val="28"/>
        </w:rPr>
        <w:t>（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代表性论文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4</w:t>
      </w:r>
      <w:r w:rsidR="004C2A81"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和</w:t>
      </w:r>
      <w:r w:rsidR="004C2A81"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5</w:t>
      </w:r>
      <w:r w:rsidRPr="006B158C">
        <w:rPr>
          <w:rStyle w:val="aa"/>
          <w:rFonts w:ascii="Times New Roman" w:eastAsia="仿宋_GB2312" w:hAnsi="Times New Roman" w:cs="Times New Roman"/>
          <w:b w:val="0"/>
          <w:sz w:val="28"/>
          <w:szCs w:val="28"/>
        </w:rPr>
        <w:t>）</w:t>
      </w:r>
      <w:r w:rsidRPr="006B158C">
        <w:rPr>
          <w:rStyle w:val="aa"/>
          <w:rFonts w:ascii="Times New Roman" w:eastAsia="仿宋_GB2312" w:hAnsi="Times New Roman" w:cs="Times New Roman"/>
          <w:sz w:val="28"/>
          <w:szCs w:val="28"/>
        </w:rPr>
        <w:t>。</w:t>
      </w:r>
    </w:p>
    <w:p w14:paraId="200188CA" w14:textId="7ACE33B8" w:rsidR="00341A1D" w:rsidRPr="006B158C" w:rsidRDefault="00341A1D" w:rsidP="00762836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本项目在国内外重要刊物发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表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10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篇</w:t>
      </w:r>
      <w:r w:rsidR="00205898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高水平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研究论文，其中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篇代表性论文他引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456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次，单篇最高他引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137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次；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篇其它论文他引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554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次，单篇最高他引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3916CA"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次</w:t>
      </w:r>
      <w:r w:rsidRPr="006B158C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第一完成人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2014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年获国家杰出青年基金资助；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年获得中国化学会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-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赢创化学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创新奖；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年入选万人计划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领军人才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。第二完成人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年获国家优秀青年基金资助。</w:t>
      </w:r>
    </w:p>
    <w:p w14:paraId="0D57665D" w14:textId="77777777" w:rsidR="00762836" w:rsidRPr="006B158C" w:rsidRDefault="00881432" w:rsidP="007628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五、主要完成单位</w:t>
      </w:r>
      <w:r w:rsidR="008E68FF" w:rsidRPr="006B158C">
        <w:rPr>
          <w:rFonts w:ascii="Times New Roman" w:eastAsia="仿宋_GB2312" w:hAnsi="Times New Roman" w:cs="Times New Roman"/>
          <w:sz w:val="28"/>
          <w:szCs w:val="28"/>
        </w:rPr>
        <w:t>及其贡献：</w:t>
      </w:r>
    </w:p>
    <w:p w14:paraId="1195FC58" w14:textId="650E8638" w:rsidR="00881432" w:rsidRPr="006B158C" w:rsidRDefault="00762836" w:rsidP="007628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主要完成单位：</w:t>
      </w:r>
      <w:r w:rsidR="00341A1D" w:rsidRPr="006B158C">
        <w:rPr>
          <w:rFonts w:ascii="Times New Roman" w:eastAsia="仿宋_GB2312" w:hAnsi="Times New Roman" w:cs="Times New Roman"/>
          <w:sz w:val="28"/>
          <w:szCs w:val="28"/>
        </w:rPr>
        <w:t>中国科学院福建物质结构研究所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。贡献：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为项目研究提</w:t>
      </w:r>
      <w:r w:rsidR="00C44D64" w:rsidRPr="006B158C">
        <w:rPr>
          <w:rFonts w:ascii="Times New Roman" w:eastAsia="仿宋_GB2312" w:hAnsi="Times New Roman" w:cs="Times New Roman"/>
          <w:sz w:val="28"/>
          <w:szCs w:val="28"/>
        </w:rPr>
        <w:t>供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经费支撑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;</w:t>
      </w:r>
      <w:r w:rsidR="004B586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为项目研究提供测试所需的各类型仪器设备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;</w:t>
      </w:r>
      <w:r w:rsidR="004B586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(3)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为项目研究提供理论计算所需的软件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;</w:t>
      </w:r>
      <w:r w:rsidR="004B586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(4)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为项目研究提供测试和分析服务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;</w:t>
      </w:r>
      <w:r w:rsidR="004B586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(5)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提供网络信息服务、网络技术及应用的支持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;</w:t>
      </w:r>
      <w:r w:rsidR="004B586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(</w:t>
      </w:r>
      <w:r w:rsidR="009C6C63" w:rsidRPr="006B158C">
        <w:rPr>
          <w:rFonts w:ascii="Times New Roman" w:eastAsia="仿宋_GB2312" w:hAnsi="Times New Roman" w:cs="Times New Roman"/>
          <w:sz w:val="28"/>
          <w:szCs w:val="28"/>
        </w:rPr>
        <w:t>6</w:t>
      </w:r>
      <w:r w:rsidR="00001CD6" w:rsidRPr="006B158C">
        <w:rPr>
          <w:rFonts w:ascii="Times New Roman" w:eastAsia="仿宋_GB2312" w:hAnsi="Times New Roman" w:cs="Times New Roman"/>
          <w:sz w:val="28"/>
          <w:szCs w:val="28"/>
        </w:rPr>
        <w:t>)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提供文献传递服务，等等。</w:t>
      </w:r>
    </w:p>
    <w:p w14:paraId="77B821A6" w14:textId="5C25A858" w:rsidR="00881432" w:rsidRPr="006B158C" w:rsidRDefault="00881432" w:rsidP="007628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六、</w:t>
      </w:r>
      <w:bookmarkStart w:id="0" w:name="_Hlk91755977"/>
      <w:r w:rsidRPr="006B158C">
        <w:rPr>
          <w:rFonts w:ascii="Times New Roman" w:eastAsia="仿宋_GB2312" w:hAnsi="Times New Roman" w:cs="Times New Roman"/>
          <w:sz w:val="28"/>
          <w:szCs w:val="28"/>
        </w:rPr>
        <w:t>主要完成人及其贡献</w:t>
      </w:r>
      <w:r w:rsidR="008E68FF" w:rsidRPr="006B158C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258078A1" w14:textId="575AABE5" w:rsidR="004C7AC2" w:rsidRPr="006B158C" w:rsidRDefault="004C7AC2" w:rsidP="00762836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bookmarkStart w:id="1" w:name="OLE_LINK22"/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张</w:t>
      </w: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健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，项目负责人。对创新点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1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有主要贡献。提出研究总体思路、计划与方案，组织实施项目研究工作。提出本项目的关键学术思想与研究思路，指导项目组成员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开展钛氧</w:t>
      </w:r>
      <w:r w:rsidR="00447160" w:rsidRPr="006B158C">
        <w:rPr>
          <w:rFonts w:ascii="Times New Roman" w:eastAsia="仿宋_GB2312" w:hAnsi="Times New Roman" w:cs="Times New Roman"/>
          <w:sz w:val="28"/>
          <w:szCs w:val="28"/>
        </w:rPr>
        <w:t>团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簇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研究。完成论文学术思想方面的撰写、是全部发现点的主要完成人，对全部发现点均</w:t>
      </w:r>
      <w:r w:rsidR="00D53CFB">
        <w:rPr>
          <w:rFonts w:ascii="Times New Roman" w:eastAsia="仿宋_GB2312" w:hAnsi="Times New Roman" w:cs="Times New Roman" w:hint="eastAsia"/>
          <w:sz w:val="28"/>
          <w:szCs w:val="28"/>
        </w:rPr>
        <w:t>做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出创造性贡献，是所有代表性论文的通讯作者。投入本项目的工作量占本人工作量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90%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CA07DA6" w14:textId="4212FA10" w:rsidR="004C7AC2" w:rsidRPr="006B158C" w:rsidRDefault="004C7AC2" w:rsidP="00762836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张</w:t>
      </w: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proofErr w:type="gramStart"/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磊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，</w:t>
      </w:r>
      <w:bookmarkStart w:id="2" w:name="OLE_LINK18"/>
      <w:r w:rsidRPr="006B158C">
        <w:rPr>
          <w:rFonts w:ascii="Times New Roman" w:eastAsia="仿宋_GB2312" w:hAnsi="Times New Roman" w:cs="Times New Roman"/>
          <w:sz w:val="28"/>
          <w:szCs w:val="28"/>
        </w:rPr>
        <w:t>项目第二完成人。对创新点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1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有主要贡献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，是代表性论文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D57878" w:rsidRPr="00D57878">
        <w:rPr>
          <w:rFonts w:ascii="Times New Roman" w:eastAsia="仿宋_GB2312" w:hAnsi="Times New Roman" w:cs="Times New Roman" w:hint="eastAsia"/>
          <w:sz w:val="28"/>
          <w:szCs w:val="28"/>
        </w:rPr>
        <w:t>的共同通讯作者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。参与项目学术思想、研究方向的讨论确定，研究内容、实验方案的设计规划，以及结果分析、论文写作等方面的工作。对全部发现点均做出重要贡献。发展了利用酯化反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lastRenderedPageBreak/>
        <w:t>应控制体系水量的方法，实现了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钛氧簇的簇核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结构与表面结构的精确调控。在该项目研究中的工作量占本人工作量的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90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％。</w:t>
      </w:r>
    </w:p>
    <w:bookmarkEnd w:id="2"/>
    <w:p w14:paraId="440115E2" w14:textId="2999FF5C" w:rsidR="004C7AC2" w:rsidRPr="006B158C" w:rsidRDefault="004C7AC2" w:rsidP="00762836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方伟慧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，项目第三完成人。对创新点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1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有主要贡献。参与实验设计与操作、数据结果分析、论文写作等方面的工作，是代表性论文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的第一作者。制备了目前最高核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Ti</w:t>
      </w:r>
      <w:r w:rsidRPr="006B158C">
        <w:rPr>
          <w:rFonts w:ascii="Times New Roman" w:eastAsia="仿宋_GB2312" w:hAnsi="Times New Roman" w:cs="Times New Roman"/>
          <w:sz w:val="28"/>
          <w:szCs w:val="28"/>
          <w:vertAlign w:val="subscript"/>
        </w:rPr>
        <w:t>52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氧簇，</w:t>
      </w:r>
      <w:proofErr w:type="gramStart"/>
      <w:r w:rsidRPr="006B158C">
        <w:rPr>
          <w:rFonts w:ascii="Times New Roman" w:eastAsia="仿宋_GB2312" w:hAnsi="Times New Roman" w:cs="Times New Roman"/>
          <w:sz w:val="28"/>
          <w:szCs w:val="28"/>
        </w:rPr>
        <w:t>簇核尺寸</w:t>
      </w:r>
      <w:proofErr w:type="gramEnd"/>
      <w:r w:rsidRPr="006B158C">
        <w:rPr>
          <w:rFonts w:ascii="Times New Roman" w:eastAsia="仿宋_GB2312" w:hAnsi="Times New Roman" w:cs="Times New Roman"/>
          <w:sz w:val="28"/>
          <w:szCs w:val="28"/>
        </w:rPr>
        <w:t>达到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3.6 nm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。在该项目研究中的工作量占本人工作量的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90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％。</w:t>
      </w:r>
    </w:p>
    <w:p w14:paraId="78B14B00" w14:textId="52921CBC" w:rsidR="004C7AC2" w:rsidRPr="006B158C" w:rsidRDefault="004C7AC2" w:rsidP="00762836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仿宋_GB2312" w:hAnsi="Times New Roman" w:cs="Times New Roman"/>
          <w:sz w:val="28"/>
          <w:szCs w:val="28"/>
          <w:shd w:val="clear" w:color="auto" w:fill="FDFFFE"/>
        </w:rPr>
      </w:pP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何燕萍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，</w:t>
      </w:r>
      <w:bookmarkStart w:id="3" w:name="OLE_LINK8"/>
      <w:bookmarkStart w:id="4" w:name="OLE_LINK21"/>
      <w:r w:rsidRPr="006B158C">
        <w:rPr>
          <w:rFonts w:ascii="Times New Roman" w:eastAsia="仿宋_GB2312" w:hAnsi="Times New Roman" w:cs="Times New Roman"/>
          <w:sz w:val="28"/>
          <w:szCs w:val="28"/>
        </w:rPr>
        <w:t>项目第四完成人。对创新点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有主要贡献。参与实验设计与操作、数据结果分析、论文写作等方面的工作，是代表性论文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3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的第一作者。</w:t>
      </w:r>
      <w:r w:rsidRPr="006B158C">
        <w:rPr>
          <w:rFonts w:ascii="Times New Roman" w:eastAsia="仿宋_GB2312" w:hAnsi="Times New Roman" w:cs="Times New Roman"/>
          <w:sz w:val="28"/>
          <w:szCs w:val="28"/>
          <w:shd w:val="clear" w:color="auto" w:fill="FDFFFE"/>
        </w:rPr>
        <w:t>合成了首例可溶于水、超稳定且具有配位组装功能的钛</w:t>
      </w:r>
      <w:r w:rsidRPr="006B158C">
        <w:rPr>
          <w:rFonts w:ascii="Times New Roman" w:eastAsia="仿宋_GB2312" w:hAnsi="Times New Roman" w:cs="Times New Roman"/>
          <w:sz w:val="28"/>
          <w:szCs w:val="28"/>
          <w:shd w:val="clear" w:color="auto" w:fill="FDFFFE"/>
        </w:rPr>
        <w:t>-</w:t>
      </w:r>
      <w:r w:rsidRPr="006B158C">
        <w:rPr>
          <w:rFonts w:ascii="Times New Roman" w:eastAsia="仿宋_GB2312" w:hAnsi="Times New Roman" w:cs="Times New Roman"/>
          <w:sz w:val="28"/>
          <w:szCs w:val="28"/>
          <w:shd w:val="clear" w:color="auto" w:fill="FDFFFE"/>
        </w:rPr>
        <w:t>有机四面体。在该项目研究中的工作量占本人工作量的</w:t>
      </w:r>
      <w:r w:rsidRPr="006B158C">
        <w:rPr>
          <w:rFonts w:ascii="Times New Roman" w:eastAsia="仿宋_GB2312" w:hAnsi="Times New Roman" w:cs="Times New Roman"/>
          <w:sz w:val="28"/>
          <w:szCs w:val="28"/>
          <w:shd w:val="clear" w:color="auto" w:fill="FDFFFE"/>
        </w:rPr>
        <w:t>90</w:t>
      </w:r>
      <w:r w:rsidRPr="006B158C">
        <w:rPr>
          <w:rFonts w:ascii="Times New Roman" w:eastAsia="仿宋_GB2312" w:hAnsi="Times New Roman" w:cs="Times New Roman"/>
          <w:sz w:val="28"/>
          <w:szCs w:val="28"/>
          <w:shd w:val="clear" w:color="auto" w:fill="FDFFFE"/>
        </w:rPr>
        <w:t>％。</w:t>
      </w:r>
      <w:bookmarkEnd w:id="3"/>
      <w:bookmarkEnd w:id="4"/>
    </w:p>
    <w:bookmarkEnd w:id="1"/>
    <w:p w14:paraId="2EEC6BFD" w14:textId="7D8A8026" w:rsidR="00341A1D" w:rsidRPr="006B158C" w:rsidRDefault="009C252E" w:rsidP="00D53CFB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b/>
          <w:sz w:val="28"/>
          <w:szCs w:val="28"/>
        </w:rPr>
        <w:t>刘雅洁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，项目第五完成人。对创新点</w:t>
      </w:r>
      <w:r w:rsidRPr="006B158C">
        <w:rPr>
          <w:rFonts w:ascii="Times New Roman" w:eastAsia="仿宋_GB2312" w:hAnsi="Times New Roman" w:cs="Times New Roman"/>
          <w:sz w:val="28"/>
          <w:szCs w:val="28"/>
        </w:rPr>
        <w:t>2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有主要贡献。参与实验设计和操作、数据分析、研究结果总结、论文写作等方面的工作。是代表性论文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5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的第一作者。</w:t>
      </w:r>
      <w:r w:rsidR="00B825F4" w:rsidRPr="006B158C">
        <w:rPr>
          <w:rFonts w:ascii="Times New Roman" w:eastAsia="仿宋_GB2312" w:hAnsi="Times New Roman" w:cs="Times New Roman"/>
          <w:bCs/>
          <w:sz w:val="28"/>
          <w:szCs w:val="28"/>
        </w:rPr>
        <w:t>实现了</w:t>
      </w:r>
      <w:proofErr w:type="gramStart"/>
      <w:r w:rsidR="00B825F4" w:rsidRPr="006B158C">
        <w:rPr>
          <w:rFonts w:ascii="Times New Roman" w:eastAsia="仿宋_GB2312" w:hAnsi="Times New Roman" w:cs="Times New Roman"/>
          <w:bCs/>
          <w:sz w:val="28"/>
          <w:szCs w:val="28"/>
        </w:rPr>
        <w:t>钛氧簇材料</w:t>
      </w:r>
      <w:proofErr w:type="gramEnd"/>
      <w:r w:rsidR="00B825F4" w:rsidRPr="006B158C">
        <w:rPr>
          <w:rFonts w:ascii="Times New Roman" w:eastAsia="仿宋_GB2312" w:hAnsi="Times New Roman" w:cs="Times New Roman"/>
          <w:bCs/>
          <w:sz w:val="28"/>
          <w:szCs w:val="28"/>
        </w:rPr>
        <w:t>在无贵金属助催化剂条件下的高效可见光驱动分解水产氢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。在该项目研究中的工作量占本人工作量的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90</w:t>
      </w:r>
      <w:r w:rsidR="004C7AC2" w:rsidRPr="006B158C">
        <w:rPr>
          <w:rFonts w:ascii="Times New Roman" w:eastAsia="仿宋_GB2312" w:hAnsi="Times New Roman" w:cs="Times New Roman"/>
          <w:sz w:val="28"/>
          <w:szCs w:val="28"/>
        </w:rPr>
        <w:t>％。</w:t>
      </w:r>
    </w:p>
    <w:p w14:paraId="0753F58E" w14:textId="0DA9F96F" w:rsidR="006238C6" w:rsidRPr="006B158C" w:rsidRDefault="00881432" w:rsidP="00CC3A83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B158C">
        <w:rPr>
          <w:rFonts w:ascii="Times New Roman" w:eastAsia="仿宋_GB2312" w:hAnsi="Times New Roman" w:cs="Times New Roman"/>
          <w:sz w:val="28"/>
          <w:szCs w:val="28"/>
        </w:rPr>
        <w:t>七、主要知识产权及代表性论文专著等支撑材料目录</w:t>
      </w:r>
      <w:bookmarkEnd w:id="0"/>
      <w:r w:rsidR="008E68FF" w:rsidRPr="006B158C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42322977" w14:textId="77777777" w:rsidR="001875D7" w:rsidRDefault="001875D7" w:rsidP="00CC3A83">
      <w:pPr>
        <w:spacing w:line="360" w:lineRule="auto"/>
        <w:rPr>
          <w:szCs w:val="21"/>
        </w:rPr>
      </w:pPr>
      <w:r>
        <w:rPr>
          <w:rFonts w:ascii="宋体" w:hAnsi="宋体"/>
          <w:b/>
          <w:sz w:val="24"/>
        </w:rPr>
        <w:t>代表性论文专著目录：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1E0F1BB" w14:textId="77777777" w:rsidR="008C1365" w:rsidRPr="0064567A" w:rsidRDefault="008C1365" w:rsidP="00CC3A83">
      <w:pPr>
        <w:pStyle w:val="EndNoteBibliography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Mei-Yan Gao, Fei Wang, Zhi-Gang Gu, De-Xiang Zhang,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*, “Fullerene-Like Polyoxotitanium Cage with High Solution Stability”,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J. Am. Chem. Soc.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2016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138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2556–2559.</w:t>
      </w:r>
    </w:p>
    <w:p w14:paraId="2DA63F38" w14:textId="77777777" w:rsidR="008C1365" w:rsidRPr="0064567A" w:rsidRDefault="008C1365" w:rsidP="00CC3A83">
      <w:pPr>
        <w:pStyle w:val="EndNoteBibliography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Wei-Hui Fang,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“</w:t>
      </w:r>
      <w:bookmarkStart w:id="5" w:name="OLE_LINK120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3.6 nm Ti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52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-Oxo Nanocluster with Precise Atomic Structure</w:t>
      </w:r>
      <w:bookmarkEnd w:id="5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J. Am. Chem. Soc.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2016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138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7480–7483.</w:t>
      </w:r>
    </w:p>
    <w:p w14:paraId="5DD4083C" w14:textId="77777777" w:rsidR="008C1365" w:rsidRPr="0064567A" w:rsidRDefault="008C1365" w:rsidP="00CC3A83">
      <w:pPr>
        <w:pStyle w:val="EndNoteBibliography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Yan-Ping He,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Lv-Bing Yuan, Guang-Hui Chen, Qi-Pu Lin, Fei Wang,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*, “Water-Soluble and Ultra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s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table Ti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Tetrahedron with Coordination Assembly Function”,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J. Am. Chem. Soc.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2017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139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16845–16851.</w:t>
      </w:r>
    </w:p>
    <w:p w14:paraId="2A4CBBD1" w14:textId="77777777" w:rsidR="008C1365" w:rsidRPr="0064567A" w:rsidRDefault="008C1365" w:rsidP="00CC3A83">
      <w:pPr>
        <w:pStyle w:val="EndNoteBibliography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Zhiqiang Jiang, Jinxiu Liu, Meiyan Gao, Xi Fan,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*, “Assembling Polyoxo-Titanium Clusters and CdS Nanoparticles to 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a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Porous Matrix for Efficient and Tunable H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-Evolution Activities with Visible Light”,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Adv. Mater.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2017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29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1603369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.</w:t>
      </w:r>
    </w:p>
    <w:p w14:paraId="05FABBDC" w14:textId="03874F3E" w:rsidR="001875D7" w:rsidRPr="00D53CFB" w:rsidRDefault="008C1365" w:rsidP="00D53CFB">
      <w:pPr>
        <w:pStyle w:val="EndNoteBibliography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Ya-Jie Liu, Lin Geng, Yao Kang,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Wei-Hui Fang*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*, “Odd-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me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mber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ed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cyclic hetero-polyoxotitanate nanoclusters with high stability and photocatalytic H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evolution activity”,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Chin. J. Catal.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2021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42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1332–1337.</w:t>
      </w:r>
    </w:p>
    <w:p w14:paraId="7F059DB1" w14:textId="77777777" w:rsidR="001875D7" w:rsidRPr="00274824" w:rsidRDefault="001875D7" w:rsidP="00CC3A83">
      <w:pPr>
        <w:pStyle w:val="EndNoteBibliography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274824">
        <w:rPr>
          <w:rFonts w:ascii="Times New Roman" w:hAnsi="Times New Roman" w:cs="Times New Roman"/>
          <w:b/>
          <w:noProof w:val="0"/>
          <w:sz w:val="24"/>
          <w:szCs w:val="24"/>
        </w:rPr>
        <w:t>其它论文：</w:t>
      </w:r>
    </w:p>
    <w:p w14:paraId="26D61546" w14:textId="77777777" w:rsidR="008C1365" w:rsidRPr="0064567A" w:rsidRDefault="008C1365" w:rsidP="00CC3A83">
      <w:pPr>
        <w:pStyle w:val="EndNoteBibliography"/>
        <w:numPr>
          <w:ilvl w:val="0"/>
          <w:numId w:val="3"/>
        </w:numPr>
        <w:adjustRightInd w:val="0"/>
        <w:snapToGrid w:val="0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Wei-Hui Fang,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*, “Synthetic strategies, diverse structures and tuneable properties of polyoxo-titanium clusters”,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Chem. Soc. Rev.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47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404–421.</w:t>
      </w:r>
    </w:p>
    <w:p w14:paraId="7DFAD965" w14:textId="77777777" w:rsidR="008C1365" w:rsidRPr="0064567A" w:rsidRDefault="008C1365" w:rsidP="00CC3A83">
      <w:pPr>
        <w:pStyle w:val="EndNoteBibliography"/>
        <w:numPr>
          <w:ilvl w:val="0"/>
          <w:numId w:val="3"/>
        </w:numPr>
        <w:adjustRightInd w:val="0"/>
        <w:snapToGrid w:val="0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Jin-Xiu Liu, Mei-Yan Gao, Wei-Hui Fang,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“</w:t>
      </w:r>
      <w:bookmarkStart w:id="6" w:name="OLE_LINK1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Bandgap Engineering of Titanium-Oxo Clusters: Labile Surface Sites Used for Ligand Substitution and Metal Incorporation</w:t>
      </w:r>
      <w:bookmarkEnd w:id="6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Angew. Chem. Int. Ed.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2016,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55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5160–5165.</w:t>
      </w:r>
    </w:p>
    <w:p w14:paraId="1B72F606" w14:textId="77777777" w:rsidR="008C1365" w:rsidRPr="0064567A" w:rsidRDefault="008C1365" w:rsidP="00CC3A83">
      <w:pPr>
        <w:pStyle w:val="EndNoteBibliography"/>
        <w:numPr>
          <w:ilvl w:val="0"/>
          <w:numId w:val="3"/>
        </w:numPr>
        <w:adjustRightInd w:val="0"/>
        <w:snapToGrid w:val="0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Shuai Chen, Wei-Hui Fang,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*,</w:t>
      </w:r>
      <w:bookmarkStart w:id="7" w:name="OLE_LINK83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bookmarkStart w:id="8" w:name="OLE_LINK2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Atomically Precise Multimetallic Semiconductive Nanoclusters with Optical Limiting Effects</w:t>
      </w:r>
      <w:bookmarkEnd w:id="7"/>
      <w:bookmarkEnd w:id="8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Angew. Chem. Int. Ed.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57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11252–11256.</w:t>
      </w:r>
    </w:p>
    <w:p w14:paraId="2277BFEF" w14:textId="77777777" w:rsidR="008C1365" w:rsidRPr="0064567A" w:rsidRDefault="008C1365" w:rsidP="00CC3A83">
      <w:pPr>
        <w:pStyle w:val="EndNoteBibliography"/>
        <w:numPr>
          <w:ilvl w:val="0"/>
          <w:numId w:val="3"/>
        </w:numPr>
        <w:adjustRightInd w:val="0"/>
        <w:snapToGrid w:val="0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Xi Fan, Junhui Wang, Kaifeng Wu*,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*, “</w:t>
      </w:r>
      <w:bookmarkStart w:id="9" w:name="OLE_LINK3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Isomerism in Titanium-Oxo Clusters: Molecular Anatase Model with Atomic Structure and Improved Photocatalytic Activity</w:t>
      </w:r>
      <w:bookmarkEnd w:id="9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Angew. Chem. Int. Ed.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2019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1320–1323.</w:t>
      </w:r>
    </w:p>
    <w:p w14:paraId="620FE268" w14:textId="2ACA0C40" w:rsidR="00352046" w:rsidRPr="0087138F" w:rsidRDefault="008C1365" w:rsidP="0087138F">
      <w:pPr>
        <w:pStyle w:val="EndNoteBibliography"/>
        <w:numPr>
          <w:ilvl w:val="0"/>
          <w:numId w:val="3"/>
        </w:numPr>
        <w:adjustRightInd w:val="0"/>
        <w:snapToGrid w:val="0"/>
        <w:spacing w:line="360" w:lineRule="auto"/>
        <w:ind w:left="420"/>
        <w:rPr>
          <w:rFonts w:ascii="Times New Roman" w:hAnsi="Times New Roman" w:cs="Times New Roman"/>
          <w:sz w:val="21"/>
          <w:szCs w:val="21"/>
        </w:rPr>
      </w:pP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Shuai Chen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+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Zhe-Ning Chen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+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Wei-Hui Fang, Wei Zhuang*,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Lei Zhang*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Jian Zhang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*, “</w:t>
      </w:r>
      <w:bookmarkStart w:id="10" w:name="OLE_LINK4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Ag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"/>
        </w:rPr>
        <w:t>10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Ti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"/>
        </w:rPr>
        <w:t>28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‐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Oxo Cluster Containing Single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‐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Atom Silver Sites: Atomic Structure and Synergistic Electronic Properties</w:t>
      </w:r>
      <w:bookmarkEnd w:id="10"/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r w:rsidRPr="006456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Angew.Chem. Int. Ed. </w:t>
      </w:r>
      <w:r w:rsidRPr="006456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2019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58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 xml:space="preserve">10932–10935. 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"/>
        </w:rPr>
        <w:t>(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+ Co</w:t>
      </w:r>
      <w:r w:rsidRPr="0064567A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"/>
        </w:rPr>
        <w:t>-</w:t>
      </w:r>
      <w:r w:rsidRPr="00645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"/>
        </w:rPr>
        <w:t>first authors)</w:t>
      </w:r>
    </w:p>
    <w:sectPr w:rsidR="00352046" w:rsidRPr="0087138F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BC88" w14:textId="77777777" w:rsidR="00325EB1" w:rsidRDefault="00325EB1" w:rsidP="00011510">
      <w:r>
        <w:separator/>
      </w:r>
    </w:p>
  </w:endnote>
  <w:endnote w:type="continuationSeparator" w:id="0">
    <w:p w14:paraId="261920F6" w14:textId="77777777" w:rsidR="00325EB1" w:rsidRDefault="00325EB1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09E6" w14:textId="77777777" w:rsidR="00325EB1" w:rsidRDefault="00325EB1" w:rsidP="00011510">
      <w:r>
        <w:separator/>
      </w:r>
    </w:p>
  </w:footnote>
  <w:footnote w:type="continuationSeparator" w:id="0">
    <w:p w14:paraId="0CF129B8" w14:textId="77777777" w:rsidR="00325EB1" w:rsidRDefault="00325EB1" w:rsidP="0001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5054"/>
    <w:multiLevelType w:val="hybridMultilevel"/>
    <w:tmpl w:val="C8CA77DE"/>
    <w:lvl w:ilvl="0" w:tplc="111CAEC2">
      <w:start w:val="1"/>
      <w:numFmt w:val="decimal"/>
      <w:lvlText w:val="%1."/>
      <w:lvlJc w:val="left"/>
      <w:pPr>
        <w:ind w:left="0" w:hanging="42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 w15:restartNumberingAfterBreak="0">
    <w:nsid w:val="24AD2D9C"/>
    <w:multiLevelType w:val="hybridMultilevel"/>
    <w:tmpl w:val="49F24C4A"/>
    <w:lvl w:ilvl="0" w:tplc="3E9EC8C2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964318"/>
    <w:multiLevelType w:val="hybridMultilevel"/>
    <w:tmpl w:val="8028E6FE"/>
    <w:lvl w:ilvl="0" w:tplc="95FA0252">
      <w:start w:val="1"/>
      <w:numFmt w:val="decimal"/>
      <w:lvlText w:val="%1."/>
      <w:lvlJc w:val="left"/>
      <w:pPr>
        <w:ind w:left="-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MDW2ABKmRqYGFko6SsGpxcWZ+XkgBYZGtQD0jht9LQAAAA=="/>
  </w:docVars>
  <w:rsids>
    <w:rsidRoot w:val="00961618"/>
    <w:rsid w:val="00000597"/>
    <w:rsid w:val="00000E92"/>
    <w:rsid w:val="00001CD6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2BA8"/>
    <w:rsid w:val="00106C84"/>
    <w:rsid w:val="0011006E"/>
    <w:rsid w:val="00112640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138A"/>
    <w:rsid w:val="001421E8"/>
    <w:rsid w:val="00144DB5"/>
    <w:rsid w:val="00145AF5"/>
    <w:rsid w:val="001461C4"/>
    <w:rsid w:val="00154F28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875D7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5898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260F"/>
    <w:rsid w:val="00234A60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4824"/>
    <w:rsid w:val="00277BE0"/>
    <w:rsid w:val="00280946"/>
    <w:rsid w:val="00282297"/>
    <w:rsid w:val="00282AFA"/>
    <w:rsid w:val="00283442"/>
    <w:rsid w:val="0028448A"/>
    <w:rsid w:val="0028454C"/>
    <w:rsid w:val="00284B4F"/>
    <w:rsid w:val="0028762A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4854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2F2E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4146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5EB1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1A1D"/>
    <w:rsid w:val="0034470D"/>
    <w:rsid w:val="003459FB"/>
    <w:rsid w:val="003500D0"/>
    <w:rsid w:val="00350BB2"/>
    <w:rsid w:val="003510D4"/>
    <w:rsid w:val="00351BC3"/>
    <w:rsid w:val="00352046"/>
    <w:rsid w:val="00352506"/>
    <w:rsid w:val="003549CF"/>
    <w:rsid w:val="0036033A"/>
    <w:rsid w:val="00360A9F"/>
    <w:rsid w:val="00371278"/>
    <w:rsid w:val="003715BF"/>
    <w:rsid w:val="00371911"/>
    <w:rsid w:val="00373E18"/>
    <w:rsid w:val="003753F4"/>
    <w:rsid w:val="00381F8B"/>
    <w:rsid w:val="00383E02"/>
    <w:rsid w:val="00384923"/>
    <w:rsid w:val="00386760"/>
    <w:rsid w:val="00386AD5"/>
    <w:rsid w:val="00390DF7"/>
    <w:rsid w:val="003916CA"/>
    <w:rsid w:val="003927ED"/>
    <w:rsid w:val="0039311A"/>
    <w:rsid w:val="00393462"/>
    <w:rsid w:val="0039372D"/>
    <w:rsid w:val="00394408"/>
    <w:rsid w:val="00395C12"/>
    <w:rsid w:val="00395D7E"/>
    <w:rsid w:val="003965B1"/>
    <w:rsid w:val="003979F4"/>
    <w:rsid w:val="003A0883"/>
    <w:rsid w:val="003B38CB"/>
    <w:rsid w:val="003B3A03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37FF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45C9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47160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8FD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9747E"/>
    <w:rsid w:val="004A1651"/>
    <w:rsid w:val="004A41D5"/>
    <w:rsid w:val="004A4995"/>
    <w:rsid w:val="004A4D63"/>
    <w:rsid w:val="004A5B8D"/>
    <w:rsid w:val="004A67CB"/>
    <w:rsid w:val="004A6FD5"/>
    <w:rsid w:val="004B05FA"/>
    <w:rsid w:val="004B5862"/>
    <w:rsid w:val="004B5877"/>
    <w:rsid w:val="004B6E45"/>
    <w:rsid w:val="004B75EC"/>
    <w:rsid w:val="004C0448"/>
    <w:rsid w:val="004C0720"/>
    <w:rsid w:val="004C072B"/>
    <w:rsid w:val="004C20BA"/>
    <w:rsid w:val="004C2842"/>
    <w:rsid w:val="004C2A81"/>
    <w:rsid w:val="004C2BE8"/>
    <w:rsid w:val="004C6C1F"/>
    <w:rsid w:val="004C7AC2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3453"/>
    <w:rsid w:val="005D5CBF"/>
    <w:rsid w:val="005E0523"/>
    <w:rsid w:val="005E1979"/>
    <w:rsid w:val="005E250F"/>
    <w:rsid w:val="005E314F"/>
    <w:rsid w:val="005E3932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38C6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4567A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316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492F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158C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80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17D01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836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0BE3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88D"/>
    <w:rsid w:val="00851C3B"/>
    <w:rsid w:val="00852EF1"/>
    <w:rsid w:val="008547BF"/>
    <w:rsid w:val="0085572E"/>
    <w:rsid w:val="008574E1"/>
    <w:rsid w:val="00862B94"/>
    <w:rsid w:val="008657FB"/>
    <w:rsid w:val="0086604E"/>
    <w:rsid w:val="008666C0"/>
    <w:rsid w:val="0087138F"/>
    <w:rsid w:val="00873BE6"/>
    <w:rsid w:val="00874D84"/>
    <w:rsid w:val="008775BA"/>
    <w:rsid w:val="00877987"/>
    <w:rsid w:val="00881432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6D31"/>
    <w:rsid w:val="008A79F2"/>
    <w:rsid w:val="008B0972"/>
    <w:rsid w:val="008B0B50"/>
    <w:rsid w:val="008B227E"/>
    <w:rsid w:val="008B295F"/>
    <w:rsid w:val="008B5493"/>
    <w:rsid w:val="008B7F6C"/>
    <w:rsid w:val="008C1365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68FF"/>
    <w:rsid w:val="008E773D"/>
    <w:rsid w:val="008F38C8"/>
    <w:rsid w:val="008F4F09"/>
    <w:rsid w:val="008F5241"/>
    <w:rsid w:val="00903E14"/>
    <w:rsid w:val="00904344"/>
    <w:rsid w:val="0090436C"/>
    <w:rsid w:val="00904667"/>
    <w:rsid w:val="0090525A"/>
    <w:rsid w:val="00905316"/>
    <w:rsid w:val="009064DB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3831"/>
    <w:rsid w:val="00965536"/>
    <w:rsid w:val="00967207"/>
    <w:rsid w:val="00971801"/>
    <w:rsid w:val="0097263F"/>
    <w:rsid w:val="009730C2"/>
    <w:rsid w:val="009735E0"/>
    <w:rsid w:val="00976339"/>
    <w:rsid w:val="00980B4B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B7149"/>
    <w:rsid w:val="009C2197"/>
    <w:rsid w:val="009C252E"/>
    <w:rsid w:val="009C306B"/>
    <w:rsid w:val="009C44EE"/>
    <w:rsid w:val="009C4EE2"/>
    <w:rsid w:val="009C5315"/>
    <w:rsid w:val="009C6C63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586C"/>
    <w:rsid w:val="00A26BE0"/>
    <w:rsid w:val="00A26F09"/>
    <w:rsid w:val="00A270AD"/>
    <w:rsid w:val="00A27406"/>
    <w:rsid w:val="00A30570"/>
    <w:rsid w:val="00A30AD9"/>
    <w:rsid w:val="00A34640"/>
    <w:rsid w:val="00A348E7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31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5B13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4DCD"/>
    <w:rsid w:val="00B779B9"/>
    <w:rsid w:val="00B8021B"/>
    <w:rsid w:val="00B8032D"/>
    <w:rsid w:val="00B813D8"/>
    <w:rsid w:val="00B825F4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2A95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4D64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3A83"/>
    <w:rsid w:val="00CC6E4E"/>
    <w:rsid w:val="00CC713F"/>
    <w:rsid w:val="00CC774B"/>
    <w:rsid w:val="00CC77DF"/>
    <w:rsid w:val="00CD05F3"/>
    <w:rsid w:val="00CD12B0"/>
    <w:rsid w:val="00CD1585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0C5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3CFB"/>
    <w:rsid w:val="00D53D93"/>
    <w:rsid w:val="00D547D0"/>
    <w:rsid w:val="00D5576B"/>
    <w:rsid w:val="00D5693A"/>
    <w:rsid w:val="00D571CD"/>
    <w:rsid w:val="00D57878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57E9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69F6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1A65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D4A7C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B80"/>
    <w:rsid w:val="00F21E16"/>
    <w:rsid w:val="00F22686"/>
    <w:rsid w:val="00F22B6C"/>
    <w:rsid w:val="00F24D98"/>
    <w:rsid w:val="00F2587D"/>
    <w:rsid w:val="00F25BE3"/>
    <w:rsid w:val="00F279F8"/>
    <w:rsid w:val="00F302C0"/>
    <w:rsid w:val="00F30BFC"/>
    <w:rsid w:val="00F3654D"/>
    <w:rsid w:val="00F36727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425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EF8C0"/>
  <w15:docId w15:val="{2FC24636-7F8D-49D5-95E2-7C9E3C0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5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510"/>
    <w:rPr>
      <w:sz w:val="18"/>
      <w:szCs w:val="18"/>
    </w:rPr>
  </w:style>
  <w:style w:type="table" w:styleId="a7">
    <w:name w:val="Table Grid"/>
    <w:basedOn w:val="a1"/>
    <w:uiPriority w:val="59"/>
    <w:rsid w:val="000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1A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61AF"/>
    <w:rPr>
      <w:sz w:val="18"/>
      <w:szCs w:val="18"/>
    </w:rPr>
  </w:style>
  <w:style w:type="paragraph" w:customStyle="1" w:styleId="Char">
    <w:name w:val="Char"/>
    <w:basedOn w:val="a"/>
    <w:semiHidden/>
    <w:rsid w:val="008E68FF"/>
    <w:rPr>
      <w:rFonts w:ascii="Times New Roman" w:eastAsia="宋体" w:hAnsi="Times New Roman" w:cs="Times New Roman"/>
      <w:szCs w:val="24"/>
    </w:rPr>
  </w:style>
  <w:style w:type="character" w:styleId="aa">
    <w:name w:val="Strong"/>
    <w:uiPriority w:val="22"/>
    <w:qFormat/>
    <w:rsid w:val="00341A1D"/>
    <w:rPr>
      <w:b/>
      <w:bCs/>
    </w:rPr>
  </w:style>
  <w:style w:type="paragraph" w:styleId="ab">
    <w:name w:val="Normal (Web)"/>
    <w:basedOn w:val="a"/>
    <w:uiPriority w:val="99"/>
    <w:unhideWhenUsed/>
    <w:rsid w:val="00341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1875D7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875D7"/>
    <w:rPr>
      <w:rFonts w:ascii="Calibri" w:hAnsi="Calibri" w:cs="Calibri"/>
      <w:noProof/>
      <w:sz w:val="20"/>
    </w:rPr>
  </w:style>
  <w:style w:type="paragraph" w:customStyle="1" w:styleId="TableParagraph">
    <w:name w:val="Table Paragraph"/>
    <w:basedOn w:val="a"/>
    <w:uiPriority w:val="1"/>
    <w:qFormat/>
    <w:rsid w:val="00352046"/>
    <w:pPr>
      <w:autoSpaceDE w:val="0"/>
      <w:autoSpaceDN w:val="0"/>
      <w:spacing w:before="111"/>
      <w:ind w:left="103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周长海</dc:creator>
  <cp:lastModifiedBy>Yajie Liu</cp:lastModifiedBy>
  <cp:revision>95</cp:revision>
  <dcterms:created xsi:type="dcterms:W3CDTF">2024-07-17T06:29:00Z</dcterms:created>
  <dcterms:modified xsi:type="dcterms:W3CDTF">2024-07-22T02:00:00Z</dcterms:modified>
</cp:coreProperties>
</file>