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bookmarkStart w:id="0" w:name="_GoBack"/>
      <w:bookmarkEnd w:id="0"/>
    </w:p>
    <w:p>
      <w:pPr>
        <w:rPr>
          <w:rFonts w:hint="eastAsia" w:ascii="黑体" w:eastAsia="黑体"/>
          <w:sz w:val="32"/>
          <w:szCs w:val="32"/>
        </w:rPr>
      </w:pPr>
    </w:p>
    <w:p>
      <w:pPr>
        <w:rPr>
          <w:rFonts w:hint="eastAsia" w:ascii="黑体" w:eastAsia="黑体"/>
          <w:sz w:val="32"/>
          <w:szCs w:val="32"/>
        </w:rPr>
      </w:pPr>
    </w:p>
    <w:p>
      <w:pPr>
        <w:spacing w:line="1760" w:lineRule="exact"/>
        <w:jc w:val="center"/>
        <w:rPr>
          <w:rFonts w:hint="eastAsia" w:ascii="方正小标宋简体" w:hAnsi="华文宋体" w:eastAsia="方正小标宋简体"/>
          <w:snapToGrid w:val="0"/>
          <w:color w:val="FF0000"/>
          <w:spacing w:val="40"/>
          <w:w w:val="55"/>
          <w:kern w:val="0"/>
          <w:sz w:val="130"/>
          <w:szCs w:val="130"/>
        </w:rPr>
      </w:pPr>
      <w:r>
        <w:rPr>
          <w:rFonts w:hint="eastAsia" w:ascii="方正小标宋简体" w:hAnsi="华文宋体" w:eastAsia="方正小标宋简体"/>
          <w:snapToGrid w:val="0"/>
          <w:color w:val="FF0000"/>
          <w:spacing w:val="40"/>
          <w:w w:val="55"/>
          <w:kern w:val="0"/>
          <w:sz w:val="130"/>
          <w:szCs w:val="130"/>
        </w:rPr>
        <w:t>天津市科学技术局文件</w:t>
      </w:r>
    </w:p>
    <w:p>
      <w:pPr>
        <w:jc w:val="center"/>
        <w:rPr>
          <w:rFonts w:hint="eastAsia" w:ascii="仿宋_GB2312" w:hAnsi="宋体" w:eastAsia="仿宋_GB2312"/>
          <w:color w:val="FF0000"/>
          <w:sz w:val="32"/>
          <w:szCs w:val="32"/>
        </w:rPr>
      </w:pPr>
    </w:p>
    <w:p>
      <w:pPr>
        <w:jc w:val="center"/>
        <w:rPr>
          <w:rFonts w:hint="eastAsia" w:ascii="仿宋_GB2312" w:hAnsi="宋体" w:eastAsia="仿宋_GB2312"/>
          <w:color w:val="FF0000"/>
          <w:sz w:val="32"/>
          <w:szCs w:val="32"/>
        </w:rPr>
      </w:pPr>
    </w:p>
    <w:p>
      <w:pPr>
        <w:adjustRightInd w:val="0"/>
        <w:snapToGrid w:val="0"/>
        <w:spacing w:line="360" w:lineRule="exact"/>
        <w:jc w:val="center"/>
        <w:rPr>
          <w:rFonts w:eastAsia="仿宋_GB2312"/>
          <w:sz w:val="32"/>
          <w:szCs w:val="32"/>
        </w:rPr>
      </w:pPr>
      <w:r>
        <w:rPr>
          <w:rFonts w:hint="eastAsia" w:eastAsia="仿宋_GB2312"/>
          <w:sz w:val="32"/>
          <w:szCs w:val="32"/>
        </w:rPr>
        <w:t>津科</w:t>
      </w:r>
      <w:r>
        <w:rPr>
          <w:rFonts w:hint="eastAsia" w:eastAsia="仿宋_GB2312"/>
          <w:sz w:val="32"/>
          <w:szCs w:val="32"/>
          <w:lang w:eastAsia="zh-CN"/>
        </w:rPr>
        <w:t>规</w:t>
      </w:r>
      <w:r>
        <w:rPr>
          <w:rFonts w:hint="eastAsia" w:eastAsia="仿宋_GB2312"/>
          <w:sz w:val="32"/>
          <w:szCs w:val="32"/>
        </w:rPr>
        <w:t>〔</w:t>
      </w:r>
      <w:r>
        <w:rPr>
          <w:rFonts w:hint="default" w:ascii="Nimbus Roman No9 L" w:hAnsi="Nimbus Roman No9 L" w:eastAsia="仿宋_GB2312" w:cs="Nimbus Roman No9 L"/>
          <w:sz w:val="32"/>
          <w:szCs w:val="32"/>
        </w:rPr>
        <w:t>20</w:t>
      </w:r>
      <w:r>
        <w:rPr>
          <w:rFonts w:hint="default" w:ascii="Nimbus Roman No9 L" w:hAnsi="Nimbus Roman No9 L" w:eastAsia="仿宋_GB2312" w:cs="Nimbus Roman No9 L"/>
          <w:sz w:val="32"/>
          <w:szCs w:val="32"/>
          <w:lang w:val="en-US" w:eastAsia="zh-CN"/>
        </w:rPr>
        <w:t>22</w:t>
      </w:r>
      <w:r>
        <w:rPr>
          <w:rFonts w:hint="eastAsia" w:eastAsia="仿宋_GB2312"/>
          <w:sz w:val="32"/>
          <w:szCs w:val="32"/>
        </w:rPr>
        <w:t>〕</w:t>
      </w:r>
      <w:r>
        <w:rPr>
          <w:rFonts w:hint="default" w:ascii="Nimbus Roman No9 L" w:hAnsi="Nimbus Roman No9 L" w:eastAsia="仿宋_GB2312" w:cs="Nimbus Roman No9 L"/>
          <w:sz w:val="32"/>
          <w:szCs w:val="32"/>
          <w:lang w:val="en-US" w:eastAsia="zh-CN"/>
        </w:rPr>
        <w:t>7</w:t>
      </w:r>
      <w:r>
        <w:rPr>
          <w:rFonts w:hint="eastAsia" w:eastAsia="仿宋_GB2312"/>
          <w:sz w:val="32"/>
          <w:szCs w:val="32"/>
        </w:rPr>
        <w:t>号</w:t>
      </w:r>
    </w:p>
    <w:p>
      <w:pPr>
        <w:spacing w:line="360" w:lineRule="exact"/>
        <w:jc w:val="center"/>
        <w:rPr>
          <w:rFonts w:hint="eastAsia" w:ascii="宋体" w:hAnsi="宋体"/>
          <w:sz w:val="32"/>
          <w:szCs w:val="32"/>
        </w:rPr>
      </w:pPr>
      <w:r>
        <w:rPr>
          <w:rFonts w:hint="eastAsia" w:ascii="仿宋_GB2312" w:hAnsi="宋体" w:eastAsia="仿宋_GB2312"/>
          <w:color w:val="FF0000"/>
          <w:sz w:val="32"/>
          <w:szCs w:val="32"/>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121285</wp:posOffset>
                </wp:positionV>
                <wp:extent cx="5615940" cy="0"/>
                <wp:effectExtent l="0" t="9525" r="3810" b="9525"/>
                <wp:wrapNone/>
                <wp:docPr id="1" name="直线 23"/>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直线 23" o:spid="_x0000_s1026" o:spt="20" style="position:absolute;left:0pt;margin-left:0.1pt;margin-top:9.55pt;height:0pt;width:442.2pt;z-index:251658240;mso-width-relative:page;mso-height-relative:page;" filled="f" stroked="t" coordsize="21600,21600" o:gfxdata="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qv6jt1AAA&#10;AAYBAAAPAAAAAAAAAAEAIAAAADgAAABkcnMvZG93bnJldi54bWxQSwECFAAUAAAACACHTuJA+qQ5&#10;+tMBAACSAwAADgAAAAAAAAABACAAAAA5AQAAZHJzL2Uyb0RvYy54bWxQSwUGAAAAAAYABgBZAQAA&#10;fgUAAAAA&#10;">
                <v:fill on="f" focussize="0,0"/>
                <v:stroke weight="1.5pt" color="#FF0000" joinstyle="round"/>
                <v:imagedata o:title=""/>
                <o:lock v:ext="edit" aspectratio="f"/>
              </v:line>
            </w:pict>
          </mc:Fallback>
        </mc:AlternateContent>
      </w:r>
    </w:p>
    <w:p>
      <w:pPr>
        <w:adjustRightInd w:val="0"/>
        <w:snapToGrid w:val="0"/>
        <w:spacing w:line="560" w:lineRule="exact"/>
        <w:jc w:val="center"/>
        <w:rPr>
          <w:rFonts w:hint="eastAsia" w:ascii="仿宋_GB2312" w:eastAsia="仿宋_GB2312"/>
          <w:sz w:val="32"/>
          <w:szCs w:val="32"/>
        </w:rPr>
      </w:pPr>
    </w:p>
    <w:p>
      <w:pPr>
        <w:adjustRightInd w:val="0"/>
        <w:snapToGrid w:val="0"/>
        <w:spacing w:line="560" w:lineRule="exact"/>
        <w:jc w:val="center"/>
        <w:rPr>
          <w:rFonts w:hint="eastAsia" w:ascii="仿宋_GB2312" w:hAnsi="宋体" w:eastAsia="仿宋_GB2312"/>
          <w:b/>
          <w:sz w:val="44"/>
          <w:szCs w:val="44"/>
        </w:rPr>
      </w:pPr>
    </w:p>
    <w:p>
      <w:pPr>
        <w:adjustRightInd w:val="0"/>
        <w:snapToGrid w:val="0"/>
        <w:spacing w:line="680" w:lineRule="exact"/>
        <w:jc w:val="center"/>
        <w:rPr>
          <w:rFonts w:hint="eastAsia" w:ascii="方正小标宋简体" w:hAnsi="宋体" w:eastAsia="方正小标宋简体"/>
          <w:snapToGrid w:val="0"/>
          <w:kern w:val="0"/>
          <w:sz w:val="44"/>
          <w:szCs w:val="44"/>
        </w:rPr>
      </w:pPr>
      <w:r>
        <w:rPr>
          <w:rFonts w:hint="eastAsia" w:ascii="方正小标宋简体" w:hAnsi="宋体" w:eastAsia="方正小标宋简体"/>
          <w:snapToGrid w:val="0"/>
          <w:kern w:val="0"/>
          <w:sz w:val="44"/>
          <w:szCs w:val="44"/>
        </w:rPr>
        <w:t>市科技局关于印发天津市科技计划</w:t>
      </w:r>
    </w:p>
    <w:p>
      <w:pPr>
        <w:adjustRightInd w:val="0"/>
        <w:snapToGrid w:val="0"/>
        <w:spacing w:line="680" w:lineRule="exact"/>
        <w:jc w:val="center"/>
        <w:rPr>
          <w:rFonts w:hint="eastAsia" w:ascii="方正小标宋简体" w:hAnsi="宋体" w:eastAsia="方正小标宋简体"/>
          <w:snapToGrid w:val="0"/>
          <w:kern w:val="0"/>
          <w:sz w:val="44"/>
          <w:szCs w:val="44"/>
        </w:rPr>
      </w:pPr>
      <w:r>
        <w:rPr>
          <w:rFonts w:hint="eastAsia" w:ascii="方正小标宋简体" w:hAnsi="宋体" w:eastAsia="方正小标宋简体"/>
          <w:snapToGrid w:val="0"/>
          <w:kern w:val="0"/>
          <w:sz w:val="44"/>
          <w:szCs w:val="44"/>
        </w:rPr>
        <w:t>项目管理办法的通知</w:t>
      </w:r>
    </w:p>
    <w:p>
      <w:pPr>
        <w:adjustRightInd w:val="0"/>
        <w:snapToGrid w:val="0"/>
        <w:spacing w:line="560" w:lineRule="exact"/>
        <w:rPr>
          <w:rFonts w:hint="eastAsia" w:ascii="仿宋_GB2312"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各有关单位：</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06" w:firstLineChars="200"/>
        <w:textAlignment w:val="auto"/>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为深化科技管理体制改革，规范和加强我市科技计划项目管理</w:t>
      </w:r>
      <w:r>
        <w:rPr>
          <w:rFonts w:hint="eastAsia" w:ascii="Nimbus Roman No9 L" w:hAnsi="Nimbus Roman No9 L" w:eastAsia="仿宋_GB2312"/>
          <w:snapToGrid w:val="0"/>
          <w:kern w:val="0"/>
          <w:sz w:val="32"/>
          <w:szCs w:val="32"/>
          <w:lang w:eastAsia="zh-CN"/>
        </w:rPr>
        <w:t>，市科技局制定了《天津市科技计划项目管理办法》。现印发给你们，请认真遵照执行。</w:t>
      </w:r>
    </w:p>
    <w:p>
      <w:pPr>
        <w:keepNext w:val="0"/>
        <w:keepLines w:val="0"/>
        <w:pageBreakBefore w:val="0"/>
        <w:widowControl w:val="0"/>
        <w:kinsoku/>
        <w:wordWrap/>
        <w:overflowPunct/>
        <w:topLinePunct w:val="0"/>
        <w:autoSpaceDE/>
        <w:autoSpaceDN/>
        <w:bidi w:val="0"/>
        <w:adjustRightInd w:val="0"/>
        <w:snapToGrid w:val="0"/>
        <w:spacing w:line="540" w:lineRule="exact"/>
        <w:ind w:firstLine="606" w:firstLineChars="200"/>
        <w:textAlignment w:val="auto"/>
        <w:rPr>
          <w:rFonts w:hint="eastAsia" w:ascii="Nimbus Roman No9 L" w:hAnsi="Nimbus Roman No9 L"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06" w:firstLineChars="200"/>
        <w:textAlignment w:val="auto"/>
        <w:rPr>
          <w:rFonts w:hint="eastAsia" w:ascii="Nimbus Roman No9 L" w:hAnsi="Nimbus Roman No9 L" w:eastAsia="仿宋_GB2312"/>
          <w:snapToGrid w:val="0"/>
          <w:kern w:val="0"/>
          <w:sz w:val="32"/>
          <w:szCs w:val="32"/>
        </w:rPr>
      </w:pPr>
    </w:p>
    <w:p>
      <w:pPr>
        <w:keepNext w:val="0"/>
        <w:keepLines w:val="0"/>
        <w:pageBreakBefore w:val="0"/>
        <w:widowControl w:val="0"/>
        <w:tabs>
          <w:tab w:val="left" w:pos="7513"/>
        </w:tabs>
        <w:kinsoku/>
        <w:wordWrap/>
        <w:overflowPunct/>
        <w:topLinePunct w:val="0"/>
        <w:autoSpaceDE/>
        <w:autoSpaceDN/>
        <w:bidi w:val="0"/>
        <w:adjustRightInd w:val="0"/>
        <w:snapToGrid w:val="0"/>
        <w:spacing w:line="540" w:lineRule="exact"/>
        <w:ind w:firstLine="4848" w:firstLineChars="1600"/>
        <w:textAlignment w:val="auto"/>
        <w:rPr>
          <w:rFonts w:ascii="Nimbus Roman No9 L" w:hAnsi="Nimbus Roman No9 L" w:eastAsia="仿宋_GB2312"/>
          <w:snapToGrid w:val="0"/>
          <w:kern w:val="0"/>
          <w:sz w:val="32"/>
          <w:szCs w:val="32"/>
        </w:rPr>
      </w:pPr>
      <w:r>
        <w:rPr>
          <w:rFonts w:hint="default" w:ascii="Nimbus Roman No9 L" w:hAnsi="Nimbus Roman No9 L" w:eastAsia="Nimbus Roman No9 L" w:cs="Nimbus Roman No9 L"/>
          <w:snapToGrid w:val="0"/>
          <w:kern w:val="0"/>
          <w:sz w:val="32"/>
          <w:szCs w:val="32"/>
          <w:lang w:val="en"/>
        </w:rPr>
        <w:t xml:space="preserve"> </w:t>
      </w:r>
      <w:r>
        <w:rPr>
          <w:rFonts w:hint="eastAsia" w:ascii="Nimbus Roman No9 L" w:hAnsi="Nimbus Roman No9 L" w:eastAsia="Nimbus Roman No9 L" w:cs="Nimbus Roman No9 L"/>
          <w:snapToGrid w:val="0"/>
          <w:kern w:val="0"/>
          <w:sz w:val="32"/>
          <w:szCs w:val="32"/>
        </w:rPr>
        <w:t>20</w:t>
      </w:r>
      <w:r>
        <w:rPr>
          <w:rFonts w:hint="eastAsia" w:ascii="Nimbus Roman No9 L" w:hAnsi="Nimbus Roman No9 L" w:eastAsia="SimSun" w:cs="Nimbus Roman No9 L"/>
          <w:snapToGrid w:val="0"/>
          <w:kern w:val="0"/>
          <w:sz w:val="32"/>
          <w:szCs w:val="32"/>
          <w:lang w:val="en-US" w:eastAsia="zh-CN"/>
        </w:rPr>
        <w:t>22</w:t>
      </w:r>
      <w:r>
        <w:rPr>
          <w:rFonts w:ascii="Nimbus Roman No9 L" w:hAnsi="Nimbus Roman No9 L" w:eastAsia="仿宋_GB2312"/>
          <w:snapToGrid w:val="0"/>
          <w:kern w:val="0"/>
          <w:sz w:val="32"/>
          <w:szCs w:val="32"/>
        </w:rPr>
        <w:t>年</w:t>
      </w:r>
      <w:r>
        <w:rPr>
          <w:rFonts w:hint="eastAsia" w:ascii="Nimbus Roman No9 L" w:hAnsi="Nimbus Roman No9 L" w:eastAsia="SimSun" w:cs="Nimbus Roman No9 L"/>
          <w:snapToGrid w:val="0"/>
          <w:kern w:val="0"/>
          <w:sz w:val="32"/>
          <w:szCs w:val="32"/>
          <w:lang w:val="en-US" w:eastAsia="zh-CN"/>
        </w:rPr>
        <w:t>9</w:t>
      </w:r>
      <w:r>
        <w:rPr>
          <w:rFonts w:ascii="Nimbus Roman No9 L" w:hAnsi="Nimbus Roman No9 L" w:eastAsia="仿宋_GB2312"/>
          <w:snapToGrid w:val="0"/>
          <w:kern w:val="0"/>
          <w:sz w:val="32"/>
          <w:szCs w:val="32"/>
        </w:rPr>
        <w:t>月</w:t>
      </w:r>
      <w:r>
        <w:rPr>
          <w:rFonts w:hint="eastAsia" w:ascii="Nimbus Roman No9 L" w:hAnsi="Nimbus Roman No9 L" w:eastAsia="SimSun" w:cs="Nimbus Roman No9 L"/>
          <w:snapToGrid w:val="0"/>
          <w:kern w:val="0"/>
          <w:sz w:val="32"/>
          <w:szCs w:val="32"/>
          <w:lang w:val="en-US" w:eastAsia="zh-CN"/>
        </w:rPr>
        <w:t>30</w:t>
      </w:r>
      <w:r>
        <w:rPr>
          <w:rFonts w:ascii="Nimbus Roman No9 L" w:hAnsi="Nimbus Roman No9 L" w:eastAsia="仿宋_GB2312"/>
          <w:snapToGrid w:val="0"/>
          <w:kern w:val="0"/>
          <w:sz w:val="32"/>
          <w:szCs w:val="32"/>
        </w:rPr>
        <w:t>日</w:t>
      </w:r>
    </w:p>
    <w:p>
      <w:pPr>
        <w:adjustRightInd w:val="0"/>
        <w:snapToGrid w:val="0"/>
        <w:spacing w:line="560" w:lineRule="exact"/>
        <w:ind w:firstLine="606" w:firstLineChars="200"/>
        <w:rPr>
          <w:rFonts w:hint="eastAsia" w:eastAsia="仿宋_GB2312"/>
          <w:snapToGrid w:val="0"/>
          <w:kern w:val="0"/>
          <w:sz w:val="32"/>
          <w:szCs w:val="32"/>
        </w:rPr>
      </w:pPr>
      <w:r>
        <w:rPr>
          <w:rFonts w:hint="eastAsia" w:ascii="Nimbus Roman No9 L" w:hAnsi="Nimbus Roman No9 L" w:eastAsia="仿宋_GB2312"/>
          <w:snapToGrid w:val="0"/>
          <w:kern w:val="0"/>
          <w:sz w:val="32"/>
          <w:szCs w:val="32"/>
        </w:rPr>
        <w:t>（此件</w:t>
      </w:r>
      <w:r>
        <w:rPr>
          <w:rFonts w:hint="eastAsia" w:ascii="Nimbus Roman No9 L" w:hAnsi="Nimbus Roman No9 L" w:eastAsia="仿宋_GB2312"/>
          <w:snapToGrid w:val="0"/>
          <w:kern w:val="0"/>
          <w:sz w:val="32"/>
          <w:szCs w:val="32"/>
          <w:lang w:eastAsia="zh-CN"/>
        </w:rPr>
        <w:t>主动</w:t>
      </w:r>
      <w:r>
        <w:rPr>
          <w:rFonts w:hint="eastAsia" w:ascii="Nimbus Roman No9 L" w:hAnsi="Nimbus Roman No9 L" w:eastAsia="仿宋_GB2312"/>
          <w:snapToGrid w:val="0"/>
          <w:kern w:val="0"/>
          <w:sz w:val="32"/>
          <w:szCs w:val="32"/>
        </w:rPr>
        <w:t>公开）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Nimbus Roman No9 L" w:hAnsi="Nimbus Roman No9 L" w:eastAsia="方正小标宋简体"/>
          <w:snapToGrid w:val="0"/>
          <w:kern w:val="0"/>
          <w:sz w:val="44"/>
          <w:szCs w:val="44"/>
        </w:rPr>
      </w:pPr>
      <w:r>
        <w:rPr>
          <w:rFonts w:hint="eastAsia" w:ascii="Nimbus Roman No9 L" w:hAnsi="Nimbus Roman No9 L" w:eastAsia="方正小标宋简体"/>
          <w:snapToGrid w:val="0"/>
          <w:kern w:val="0"/>
          <w:sz w:val="44"/>
          <w:szCs w:val="44"/>
        </w:rPr>
        <w:t>天津市科技计划项目管理办法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Nimbus Roman No9 L" w:hAnsi="Nimbus Roman No9 L"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outlineLvl w:val="0"/>
        <w:rPr>
          <w:rFonts w:hint="eastAsia" w:ascii="Nimbus Roman No9 L" w:hAnsi="Nimbus Roman No9 L" w:eastAsia="黑体" w:cs="黑体"/>
          <w:bCs/>
          <w:sz w:val="32"/>
          <w:szCs w:val="32"/>
          <w:highlight w:val="none"/>
        </w:rPr>
      </w:pPr>
      <w:r>
        <w:rPr>
          <w:rFonts w:hint="eastAsia" w:ascii="Nimbus Roman No9 L" w:hAnsi="Nimbus Roman No9 L" w:eastAsia="黑体" w:cs="黑体"/>
          <w:bCs/>
          <w:sz w:val="32"/>
          <w:szCs w:val="32"/>
          <w:highlight w:val="none"/>
        </w:rPr>
        <w:t>第一章</w:t>
      </w:r>
      <w:r>
        <w:rPr>
          <w:rFonts w:hint="eastAsia" w:ascii="Nimbus Roman No9 L" w:hAnsi="Nimbus Roman No9 L" w:eastAsia="黑体" w:cs="黑体"/>
          <w:bCs/>
          <w:sz w:val="32"/>
          <w:szCs w:val="32"/>
          <w:highlight w:val="none"/>
          <w:lang w:val="en-US" w:eastAsia="zh-CN"/>
        </w:rPr>
        <w:t xml:space="preserve"> </w:t>
      </w:r>
      <w:r>
        <w:rPr>
          <w:rFonts w:hint="eastAsia" w:ascii="Nimbus Roman No9 L" w:hAnsi="Nimbus Roman No9 L" w:eastAsia="黑体" w:cs="黑体"/>
          <w:bCs/>
          <w:sz w:val="32"/>
          <w:szCs w:val="32"/>
          <w:highlight w:val="none"/>
        </w:rPr>
        <w:t>总 则</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outlineLvl w:val="0"/>
        <w:rPr>
          <w:rFonts w:hint="eastAsia" w:ascii="Nimbus Roman No9 L" w:hAnsi="Nimbus Roman No9 L" w:eastAsia="黑体" w:cs="黑体"/>
          <w:bCs/>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rPr>
      </w:pPr>
      <w:r>
        <w:rPr>
          <w:rFonts w:hint="eastAsia" w:ascii="Nimbus Roman No9 L" w:hAnsi="Nimbus Roman No9 L" w:eastAsia="仿宋_GB2312" w:cs="仿宋_GB2312"/>
          <w:bCs/>
          <w:sz w:val="32"/>
          <w:szCs w:val="32"/>
          <w:highlight w:val="none"/>
        </w:rPr>
        <w:t xml:space="preserve"> 为规范和加强我市科技计划项目管理，深化科技管理体制改革，健全以信任为前提、激励为导向、绩效为目标、规范为保障、诚信为底线的新型科研管理模式，进一步支撑我市加快实现高水平科技自立自强，根据国家和我市有关规定，结合实际，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u w:val="single"/>
        </w:rPr>
      </w:pPr>
      <w:r>
        <w:rPr>
          <w:rFonts w:hint="eastAsia" w:ascii="Nimbus Roman No9 L" w:hAnsi="Nimbus Roman No9 L" w:eastAsia="仿宋_GB2312" w:cs="仿宋_GB2312"/>
          <w:bCs/>
          <w:sz w:val="32"/>
          <w:szCs w:val="32"/>
          <w:highlight w:val="none"/>
        </w:rPr>
        <w:t xml:space="preserve"> 天津市科技计划项目（以下简称项目）是指天津市科学技术局（以下简称市科技局）根据国家和天津市科技创新规划、依据年度计划安排组织实施，由法人单位承担并在一定时间周期内进行的科学技术研究开发及相关活动。</w:t>
      </w:r>
      <w:r>
        <w:rPr>
          <w:rFonts w:hint="eastAsia" w:ascii="Nimbus Roman No9 L" w:hAnsi="Nimbus Roman No9 L" w:eastAsia="仿宋_GB2312" w:cs="仿宋_GB2312"/>
          <w:sz w:val="32"/>
          <w:szCs w:val="32"/>
          <w:highlight w:val="none"/>
        </w:rPr>
        <w:t>对于市科技局按照有关规定下放立项权限的法人单位，其自主立项项目通过市科技局</w:t>
      </w:r>
      <w:r>
        <w:rPr>
          <w:rFonts w:hint="eastAsia" w:ascii="Nimbus Roman No9 L" w:hAnsi="Nimbus Roman No9 L" w:eastAsia="仿宋_GB2312" w:cs="仿宋_GB2312"/>
          <w:bCs/>
          <w:sz w:val="32"/>
          <w:szCs w:val="32"/>
          <w:highlight w:val="none"/>
          <w:lang w:val="en"/>
        </w:rPr>
        <w:t>备案</w:t>
      </w:r>
      <w:r>
        <w:rPr>
          <w:rFonts w:hint="eastAsia" w:ascii="Nimbus Roman No9 L" w:hAnsi="Nimbus Roman No9 L" w:eastAsia="仿宋_GB2312" w:cs="仿宋_GB2312"/>
          <w:sz w:val="32"/>
          <w:szCs w:val="32"/>
          <w:highlight w:val="none"/>
        </w:rPr>
        <w:t>后，视同为天津市科技计划项目。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rPr>
      </w:pPr>
      <w:r>
        <w:rPr>
          <w:rFonts w:hint="eastAsia" w:ascii="Nimbus Roman No9 L" w:hAnsi="Nimbus Roman No9 L" w:eastAsia="仿宋_GB2312" w:cs="仿宋_GB2312"/>
          <w:bCs/>
          <w:sz w:val="32"/>
          <w:szCs w:val="32"/>
          <w:highlight w:val="none"/>
        </w:rPr>
        <w:t xml:space="preserve"> 项目资金来源包括市财政资金、承担单位自筹资金以及从其他渠道获得的资金。引导有条件的高等学校、科研院所、社会组织、企业等通过捐赠等方式出资，建立多元化投入机制。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rPr>
      </w:pPr>
      <w:r>
        <w:rPr>
          <w:rFonts w:hint="eastAsia" w:ascii="Nimbus Roman No9 L" w:hAnsi="Nimbus Roman No9 L" w:eastAsia="仿宋_GB2312" w:cs="仿宋_GB2312"/>
          <w:bCs/>
          <w:sz w:val="32"/>
          <w:szCs w:val="32"/>
          <w:highlight w:val="none"/>
        </w:rPr>
        <w:t xml:space="preserve"> 项目资助方式主要包括前补助和后补助。</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rPr>
      </w:pPr>
      <w:r>
        <w:rPr>
          <w:rFonts w:hint="eastAsia" w:ascii="Nimbus Roman No9 L" w:hAnsi="Nimbus Roman No9 L" w:eastAsia="仿宋_GB2312" w:cs="仿宋_GB2312"/>
          <w:bCs/>
          <w:sz w:val="32"/>
          <w:szCs w:val="32"/>
          <w:highlight w:val="none"/>
        </w:rPr>
        <w:t>前补助，是指项目立项后核定预算</w:t>
      </w:r>
      <w:r>
        <w:rPr>
          <w:rFonts w:hint="eastAsia" w:ascii="Nimbus Roman No9 L" w:hAnsi="Nimbus Roman No9 L" w:eastAsia="仿宋_GB2312" w:cs="仿宋_GB2312"/>
          <w:bCs/>
          <w:sz w:val="32"/>
          <w:szCs w:val="32"/>
          <w:highlight w:val="none"/>
          <w:lang w:eastAsia="zh-CN"/>
        </w:rPr>
        <w:t>，</w:t>
      </w:r>
      <w:r>
        <w:rPr>
          <w:rFonts w:hint="eastAsia" w:ascii="Nimbus Roman No9 L" w:hAnsi="Nimbus Roman No9 L" w:eastAsia="仿宋_GB2312" w:cs="仿宋_GB2312"/>
          <w:bCs/>
          <w:sz w:val="32"/>
          <w:szCs w:val="32"/>
          <w:highlight w:val="none"/>
        </w:rPr>
        <w:t>并按照项目执行进度拨付资金的财政支持方式。</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rPr>
        <w:t>后补助，包括事前立项事后补助和奖励性后补助。事前立项事后补助，是指项目立项后，由项目承担单位先行投入资金组织实施，项目结束并通过综合绩效评价后，</w:t>
      </w:r>
      <w:r>
        <w:rPr>
          <w:rFonts w:hint="eastAsia" w:ascii="Nimbus Roman No9 L" w:hAnsi="Nimbus Roman No9 L" w:eastAsia="仿宋_GB2312" w:cs="仿宋_GB2312"/>
          <w:bCs/>
          <w:sz w:val="32"/>
          <w:szCs w:val="32"/>
          <w:highlight w:val="none"/>
          <w:lang w:eastAsia="zh-CN"/>
        </w:rPr>
        <w:t>市科技局</w:t>
      </w:r>
      <w:r>
        <w:rPr>
          <w:rFonts w:hint="eastAsia" w:ascii="Nimbus Roman No9 L" w:hAnsi="Nimbus Roman No9 L" w:eastAsia="仿宋_GB2312" w:cs="仿宋_GB2312"/>
          <w:bCs/>
          <w:sz w:val="32"/>
          <w:szCs w:val="32"/>
          <w:highlight w:val="none"/>
        </w:rPr>
        <w:t>给予适当补助资金；奖励性后补助，</w:t>
      </w:r>
      <w:r>
        <w:rPr>
          <w:rFonts w:hint="eastAsia" w:ascii="Nimbus Roman No9 L" w:hAnsi="Nimbus Roman No9 L" w:eastAsia="仿宋_GB2312" w:cs="仿宋_GB2312"/>
          <w:bCs/>
          <w:sz w:val="32"/>
          <w:szCs w:val="32"/>
          <w:highlight w:val="none"/>
          <w:lang w:val="en"/>
        </w:rPr>
        <w:t>是指对法人单位取得有助于解决国家</w:t>
      </w:r>
      <w:r>
        <w:rPr>
          <w:rFonts w:hint="eastAsia" w:ascii="Nimbus Roman No9 L" w:hAnsi="Nimbus Roman No9 L" w:eastAsia="仿宋_GB2312" w:cs="仿宋_GB2312"/>
          <w:bCs/>
          <w:sz w:val="32"/>
          <w:szCs w:val="32"/>
          <w:highlight w:val="none"/>
          <w:lang w:val="en" w:eastAsia="zh-CN"/>
        </w:rPr>
        <w:t>及我市</w:t>
      </w:r>
      <w:r>
        <w:rPr>
          <w:rFonts w:hint="eastAsia" w:ascii="Nimbus Roman No9 L" w:hAnsi="Nimbus Roman No9 L" w:eastAsia="仿宋_GB2312" w:cs="仿宋_GB2312"/>
          <w:bCs/>
          <w:sz w:val="32"/>
          <w:szCs w:val="32"/>
          <w:highlight w:val="none"/>
          <w:lang w:val="en"/>
        </w:rPr>
        <w:t>急需或影响经济社会发展问题的科研成果，</w:t>
      </w:r>
      <w:r>
        <w:rPr>
          <w:rFonts w:hint="eastAsia" w:ascii="Nimbus Roman No9 L" w:hAnsi="Nimbus Roman No9 L" w:eastAsia="仿宋_GB2312" w:cs="仿宋_GB2312"/>
          <w:bCs/>
          <w:sz w:val="32"/>
          <w:szCs w:val="32"/>
          <w:highlight w:val="none"/>
          <w:lang w:val="en" w:eastAsia="zh-CN"/>
        </w:rPr>
        <w:t>市科技局</w:t>
      </w:r>
      <w:r>
        <w:rPr>
          <w:rFonts w:hint="eastAsia" w:ascii="Nimbus Roman No9 L" w:hAnsi="Nimbus Roman No9 L" w:eastAsia="仿宋_GB2312" w:cs="仿宋_GB2312"/>
          <w:bCs/>
          <w:sz w:val="32"/>
          <w:szCs w:val="32"/>
          <w:highlight w:val="none"/>
          <w:lang w:val="en"/>
        </w:rPr>
        <w:t>给予奖励补助。</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以其他方式资助的项目</w:t>
      </w:r>
      <w:r>
        <w:rPr>
          <w:rFonts w:hint="eastAsia" w:ascii="Nimbus Roman No9 L" w:hAnsi="Nimbus Roman No9 L" w:eastAsia="仿宋_GB2312" w:cs="仿宋_GB2312"/>
          <w:bCs/>
          <w:strike w:val="0"/>
          <w:dstrike w:val="0"/>
          <w:sz w:val="32"/>
          <w:szCs w:val="32"/>
          <w:highlight w:val="none"/>
          <w:lang w:val="en" w:eastAsia="zh-CN"/>
        </w:rPr>
        <w:t>按照</w:t>
      </w:r>
      <w:r>
        <w:rPr>
          <w:rFonts w:hint="eastAsia" w:ascii="Nimbus Roman No9 L" w:hAnsi="Nimbus Roman No9 L" w:eastAsia="仿宋_GB2312" w:cs="仿宋_GB2312"/>
          <w:bCs/>
          <w:sz w:val="32"/>
          <w:szCs w:val="32"/>
          <w:highlight w:val="none"/>
          <w:lang w:val="en"/>
        </w:rPr>
        <w:t>各相关管理办法实施。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rPr>
      </w:pPr>
      <w:r>
        <w:rPr>
          <w:rFonts w:hint="eastAsia" w:ascii="Nimbus Roman No9 L" w:hAnsi="Nimbus Roman No9 L" w:eastAsia="仿宋_GB2312" w:cs="仿宋_GB2312"/>
          <w:bCs/>
          <w:sz w:val="32"/>
          <w:szCs w:val="32"/>
          <w:highlight w:val="none"/>
        </w:rPr>
        <w:t xml:space="preserve"> </w:t>
      </w:r>
      <w:r>
        <w:rPr>
          <w:rFonts w:hint="eastAsia" w:ascii="Nimbus Roman No9 L" w:hAnsi="Nimbus Roman No9 L" w:eastAsia="仿宋_GB2312" w:cs="仿宋_GB2312"/>
          <w:bCs/>
          <w:sz w:val="32"/>
          <w:szCs w:val="32"/>
          <w:highlight w:val="none"/>
          <w:lang w:val="en"/>
        </w:rPr>
        <w:t>以前补助、事前立项</w:t>
      </w:r>
      <w:r>
        <w:rPr>
          <w:rFonts w:hint="eastAsia" w:ascii="Nimbus Roman No9 L" w:hAnsi="Nimbus Roman No9 L" w:eastAsia="仿宋_GB2312" w:cs="仿宋_GB2312"/>
          <w:bCs/>
          <w:sz w:val="32"/>
          <w:szCs w:val="32"/>
          <w:highlight w:val="none"/>
        </w:rPr>
        <w:t>事后补助</w:t>
      </w:r>
      <w:r>
        <w:rPr>
          <w:rFonts w:hint="eastAsia" w:ascii="Nimbus Roman No9 L" w:hAnsi="Nimbus Roman No9 L" w:eastAsia="仿宋_GB2312" w:cs="仿宋_GB2312"/>
          <w:bCs/>
          <w:sz w:val="32"/>
          <w:szCs w:val="32"/>
          <w:highlight w:val="none"/>
          <w:lang w:val="en"/>
        </w:rPr>
        <w:t>等方式资助的项目，组织流程一般包括申报与受理、评审与立项、实施管理、验收等；以奖励性后补助方式资助的项目，组织流程一般包括申报与受理、评审与立项</w:t>
      </w:r>
      <w:r>
        <w:rPr>
          <w:rFonts w:hint="eastAsia" w:ascii="Nimbus Roman No9 L" w:hAnsi="Nimbus Roman No9 L" w:eastAsia="仿宋_GB2312" w:cs="仿宋_GB2312"/>
          <w:bCs/>
          <w:sz w:val="32"/>
          <w:szCs w:val="32"/>
          <w:highlight w:val="none"/>
          <w:lang w:val="en" w:eastAsia="zh-CN"/>
        </w:rPr>
        <w:t>等</w:t>
      </w:r>
      <w:r>
        <w:rPr>
          <w:rFonts w:hint="eastAsia" w:ascii="Nimbus Roman No9 L" w:hAnsi="Nimbus Roman No9 L" w:eastAsia="仿宋_GB2312" w:cs="仿宋_GB2312"/>
          <w:bCs/>
          <w:sz w:val="32"/>
          <w:szCs w:val="32"/>
          <w:highlight w:val="none"/>
          <w:lang w:val="e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rPr>
      </w:pPr>
      <w:r>
        <w:rPr>
          <w:rFonts w:hint="eastAsia" w:ascii="Nimbus Roman No9 L" w:hAnsi="Nimbus Roman No9 L" w:eastAsia="仿宋_GB2312" w:cs="仿宋_GB2312"/>
          <w:bCs/>
          <w:sz w:val="32"/>
          <w:szCs w:val="32"/>
          <w:highlight w:val="none"/>
        </w:rPr>
        <w:t xml:space="preserve"> 项目管理遵循以下原则：</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rPr>
      </w:pPr>
      <w:r>
        <w:rPr>
          <w:rFonts w:hint="eastAsia" w:ascii="Nimbus Roman No9 L" w:hAnsi="Nimbus Roman No9 L" w:eastAsia="仿宋_GB2312" w:cs="仿宋_GB2312"/>
          <w:bCs/>
          <w:sz w:val="32"/>
          <w:szCs w:val="32"/>
          <w:highlight w:val="none"/>
        </w:rPr>
        <w:t>战略谋划。建立围绕重大战略任务推动科技创新的新机制，集成优势科技资源，紧盯主攻方向和核心技术突破口，超前部署，科学布局。</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rPr>
      </w:pPr>
      <w:r>
        <w:rPr>
          <w:rFonts w:hint="eastAsia" w:ascii="Nimbus Roman No9 L" w:hAnsi="Nimbus Roman No9 L" w:eastAsia="仿宋_GB2312" w:cs="仿宋_GB2312"/>
          <w:bCs/>
          <w:sz w:val="32"/>
          <w:szCs w:val="32"/>
          <w:highlight w:val="none"/>
        </w:rPr>
        <w:t>以用立业。突出科技成果应用导向，项目管理全流程应用标准化评价方法，加强中长期评价、后评价和成果回溯，</w:t>
      </w:r>
      <w:r>
        <w:rPr>
          <w:rFonts w:hint="eastAsia" w:ascii="Nimbus Roman No9 L" w:hAnsi="Nimbus Roman No9 L" w:eastAsia="仿宋_GB2312" w:cs="仿宋_GB2312"/>
          <w:bCs/>
          <w:sz w:val="32"/>
          <w:szCs w:val="32"/>
          <w:highlight w:val="none"/>
          <w:lang w:val="en"/>
        </w:rPr>
        <w:t>促进创新链、产业链、价值链深度融合。</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rPr>
      </w:pPr>
      <w:r>
        <w:rPr>
          <w:rFonts w:hint="eastAsia" w:ascii="Nimbus Roman No9 L" w:hAnsi="Nimbus Roman No9 L" w:eastAsia="仿宋_GB2312" w:cs="仿宋_GB2312"/>
          <w:bCs/>
          <w:sz w:val="32"/>
          <w:szCs w:val="32"/>
          <w:highlight w:val="none"/>
        </w:rPr>
        <w:t>减负放权。坚持转变职能、优化服务，持续深化科研领域“放管服”改革，不断激发科研人员积极性</w:t>
      </w:r>
      <w:r>
        <w:rPr>
          <w:rFonts w:hint="eastAsia" w:ascii="Nimbus Roman No9 L" w:hAnsi="Nimbus Roman No9 L" w:eastAsia="仿宋_GB2312" w:cs="仿宋_GB2312"/>
          <w:bCs/>
          <w:sz w:val="32"/>
          <w:szCs w:val="32"/>
          <w:highlight w:val="none"/>
          <w:lang w:eastAsia="zh-CN"/>
        </w:rPr>
        <w:t>、</w:t>
      </w:r>
      <w:r>
        <w:rPr>
          <w:rFonts w:hint="eastAsia" w:ascii="Nimbus Roman No9 L" w:hAnsi="Nimbus Roman No9 L" w:eastAsia="仿宋_GB2312" w:cs="仿宋_GB2312"/>
          <w:bCs/>
          <w:sz w:val="32"/>
          <w:szCs w:val="32"/>
          <w:highlight w:val="none"/>
        </w:rPr>
        <w:t>创造性，打造更加完善的科研生态环境。</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sz w:val="32"/>
          <w:szCs w:val="32"/>
          <w:highlight w:val="none"/>
        </w:rPr>
        <w:t>协同部署。促进科技创新与科普协同发展，大力推进科技资源科普化，引导社会形成理解和支持科技创新的正确导向，为科学研究和技术应用创造良好氛围。</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sz w:val="32"/>
          <w:szCs w:val="32"/>
          <w:highlight w:val="none"/>
          <w:lang w:val="en" w:eastAsia="zh-CN"/>
        </w:rPr>
      </w:pPr>
      <w:r>
        <w:rPr>
          <w:rFonts w:hint="eastAsia" w:ascii="Nimbus Roman No9 L" w:hAnsi="Nimbus Roman No9 L" w:eastAsia="仿宋_GB2312" w:cs="仿宋_GB2312"/>
          <w:bCs/>
          <w:sz w:val="32"/>
          <w:szCs w:val="32"/>
          <w:highlight w:val="none"/>
        </w:rPr>
        <w:t>管理规范。优化项目管理流程，在评审、立项、实施、验收、成果转化等各个环节，健全权责明确、科学高效的运行机制</w:t>
      </w:r>
      <w:r>
        <w:rPr>
          <w:rFonts w:hint="eastAsia" w:ascii="Nimbus Roman No9 L" w:hAnsi="Nimbus Roman No9 L" w:eastAsia="仿宋_GB2312" w:cs="仿宋_GB2312"/>
          <w:bCs/>
          <w:sz w:val="32"/>
          <w:szCs w:val="32"/>
          <w:highlight w:val="none"/>
          <w:lang w:eastAsia="zh-CN"/>
        </w:rPr>
        <w:t>，完善项目保密、科技信息公开管理机制。</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jc w:val="center"/>
        <w:textAlignment w:val="auto"/>
        <w:outlineLvl w:val="0"/>
        <w:rPr>
          <w:rFonts w:hint="eastAsia" w:ascii="Nimbus Roman No9 L" w:hAnsi="Nimbus Roman No9 L" w:eastAsia="黑体" w:cs="黑体"/>
          <w:bCs/>
          <w:sz w:val="32"/>
          <w:szCs w:val="32"/>
          <w:highlight w:val="none"/>
        </w:rPr>
      </w:pPr>
      <w:r>
        <w:rPr>
          <w:rFonts w:hint="eastAsia" w:ascii="Nimbus Roman No9 L" w:hAnsi="Nimbus Roman No9 L" w:eastAsia="黑体" w:cs="黑体"/>
          <w:bCs/>
          <w:sz w:val="32"/>
          <w:szCs w:val="32"/>
          <w:highlight w:val="none"/>
          <w:lang w:eastAsia="zh-CN"/>
        </w:rPr>
        <w:t>第二章</w:t>
      </w:r>
      <w:r>
        <w:rPr>
          <w:rFonts w:hint="eastAsia" w:ascii="Nimbus Roman No9 L" w:hAnsi="Nimbus Roman No9 L" w:eastAsia="黑体" w:cs="黑体"/>
          <w:bCs/>
          <w:sz w:val="32"/>
          <w:szCs w:val="32"/>
          <w:highlight w:val="none"/>
          <w:lang w:val="en-US" w:eastAsia="zh-CN"/>
        </w:rPr>
        <w:t xml:space="preserve"> </w:t>
      </w:r>
      <w:r>
        <w:rPr>
          <w:rFonts w:hint="eastAsia" w:ascii="Nimbus Roman No9 L" w:hAnsi="Nimbus Roman No9 L" w:eastAsia="黑体" w:cs="黑体"/>
          <w:bCs/>
          <w:sz w:val="32"/>
          <w:szCs w:val="32"/>
          <w:highlight w:val="none"/>
        </w:rPr>
        <w:t>各方职责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jc w:val="center"/>
        <w:textAlignment w:val="auto"/>
        <w:outlineLvl w:val="0"/>
        <w:rPr>
          <w:rFonts w:hint="eastAsia" w:ascii="Nimbus Roman No9 L" w:hAnsi="Nimbus Roman No9 L" w:eastAsia="黑体" w:cs="黑体"/>
          <w:bCs/>
          <w:sz w:val="32"/>
          <w:szCs w:val="32"/>
          <w:highlight w:val="none"/>
        </w:rPr>
      </w:pP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rPr>
        <w:t xml:space="preserve"> </w:t>
      </w:r>
      <w:r>
        <w:rPr>
          <w:rFonts w:hint="eastAsia" w:ascii="Nimbus Roman No9 L" w:hAnsi="Nimbus Roman No9 L" w:eastAsia="仿宋_GB2312" w:cs="仿宋_GB2312"/>
          <w:bCs/>
          <w:sz w:val="32"/>
          <w:szCs w:val="32"/>
          <w:highlight w:val="none"/>
          <w:lang w:val="en"/>
        </w:rPr>
        <w:t>市科技局是项目主管部门，主要职责包括：</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（一）研究制定项目管理制度规范；</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（二）编制发布项目指南；</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（三）组织完成项目受理、评审、立项、任务合同书签订、实施管理、验收、监督与评估等工作；</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（四）优化完善项目管理信息系统，推进全过程信息化管理；</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（五）负责项目调整、撤销和终止的审核等工作；</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（六）确定承接具体管理工作的项目管理</w:t>
      </w:r>
      <w:r>
        <w:rPr>
          <w:rFonts w:hint="eastAsia" w:ascii="Nimbus Roman No9 L" w:hAnsi="Nimbus Roman No9 L" w:eastAsia="仿宋_GB2312" w:cs="仿宋_GB2312"/>
          <w:bCs/>
          <w:sz w:val="32"/>
          <w:szCs w:val="32"/>
          <w:highlight w:val="none"/>
          <w:lang w:val="en" w:eastAsia="zh-CN"/>
        </w:rPr>
        <w:t>服务</w:t>
      </w:r>
      <w:r>
        <w:rPr>
          <w:rFonts w:hint="eastAsia" w:ascii="Nimbus Roman No9 L" w:hAnsi="Nimbus Roman No9 L" w:eastAsia="仿宋_GB2312" w:cs="仿宋_GB2312"/>
          <w:bCs/>
          <w:sz w:val="32"/>
          <w:szCs w:val="32"/>
          <w:highlight w:val="none"/>
          <w:lang w:val="en"/>
        </w:rPr>
        <w:t>机构，并对其履职尽责情况进行监督检查；</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（七）统筹项目科研诚信建设，加强项目科技伦理治理；</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（八）法律、法规、规章规定的其他职责。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rPr>
        <w:t xml:space="preserve"> </w:t>
      </w:r>
      <w:r>
        <w:rPr>
          <w:rFonts w:hint="eastAsia" w:ascii="Nimbus Roman No9 L" w:hAnsi="Nimbus Roman No9 L" w:eastAsia="仿宋_GB2312" w:cs="仿宋_GB2312"/>
          <w:bCs/>
          <w:sz w:val="32"/>
          <w:szCs w:val="32"/>
          <w:highlight w:val="none"/>
          <w:lang w:val="en"/>
        </w:rPr>
        <w:t>项目组织单位是项目第一承担单位的上级主管部门或注册地所在区科技行政部门，主要职责包括：</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（一）负责对项目申报、任务合同书签订、调整、撤销和终止、验收等进行审查；</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 xml:space="preserve">（二）督促管理范围内项目承担单位实施和完成项目，配合开展相关监督与评估工作； </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（三）指导管理范围内项目科研诚信建设和科技伦理治理；</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（四）法律、法规、规章规定的其他职责。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rPr>
        <w:t xml:space="preserve"> </w:t>
      </w:r>
      <w:r>
        <w:rPr>
          <w:rFonts w:hint="eastAsia" w:ascii="Nimbus Roman No9 L" w:hAnsi="Nimbus Roman No9 L" w:eastAsia="仿宋_GB2312" w:cs="仿宋_GB2312"/>
          <w:bCs/>
          <w:sz w:val="32"/>
          <w:szCs w:val="32"/>
          <w:highlight w:val="none"/>
          <w:lang w:val="en"/>
        </w:rPr>
        <w:t>项目承担单位是项目实施的责任主体，主要职责包括：</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（一）恪守科学道德，遵守有关法律法规和科技伦理原则，对相关科研活动加强审查和监管；</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（二）建立健全科研、财务、诚信等内部管理制度；</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（三）按照任务合同书组织实施项目，落实配套条件，完成项目考核指标；</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（四）按要求组织编报项目自评价报告、科技报告等，及时报告项目执行中出现的重大事项，按程序报批需要调整的事项；</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（五）接受指导、检查并配合做好监督、评估和验收等工作；</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（六）履行保密、知识产权评估及保护等责任和义务，强化科普工作责任意识，推动项目成果转化应用；</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（七）按照有关法律法规和相关部门要求，办理实施项目必要的手续并承担项目实施的安全责任；</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（八）开展科研人员遵规守纪宣传和培训，强化科研人员自律意识和诚信意识；</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（九）法律、法规、规章规定的其他职责。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rPr>
        <w:t xml:space="preserve"> </w:t>
      </w:r>
      <w:r>
        <w:rPr>
          <w:rFonts w:hint="eastAsia" w:ascii="Nimbus Roman No9 L" w:hAnsi="Nimbus Roman No9 L" w:eastAsia="仿宋_GB2312" w:cs="仿宋_GB2312"/>
          <w:bCs/>
          <w:sz w:val="32"/>
          <w:szCs w:val="32"/>
          <w:highlight w:val="none"/>
          <w:lang w:val="en"/>
        </w:rPr>
        <w:t>项目负责人</w:t>
      </w:r>
      <w:r>
        <w:rPr>
          <w:rFonts w:hint="eastAsia" w:ascii="Nimbus Roman No9 L" w:hAnsi="Nimbus Roman No9 L" w:eastAsia="仿宋_GB2312" w:cs="仿宋_GB2312"/>
          <w:bCs/>
          <w:sz w:val="32"/>
          <w:szCs w:val="32"/>
          <w:highlight w:val="none"/>
          <w:lang w:val="en" w:eastAsia="zh-CN"/>
        </w:rPr>
        <w:t>是</w:t>
      </w:r>
      <w:r>
        <w:rPr>
          <w:rFonts w:hint="eastAsia" w:ascii="Nimbus Roman No9 L" w:hAnsi="Nimbus Roman No9 L" w:eastAsia="仿宋_GB2312" w:cs="仿宋_GB2312"/>
          <w:bCs/>
          <w:sz w:val="32"/>
          <w:szCs w:val="32"/>
          <w:highlight w:val="none"/>
          <w:lang w:val="en"/>
        </w:rPr>
        <w:t>项目实施的直接责任人</w:t>
      </w:r>
      <w:r>
        <w:rPr>
          <w:rFonts w:hint="eastAsia" w:ascii="仿宋" w:hAnsi="仿宋" w:eastAsia="仿宋" w:cs="仿宋"/>
          <w:sz w:val="30"/>
          <w:szCs w:val="30"/>
          <w:lang w:eastAsia="zh-CN"/>
        </w:rPr>
        <w:t>，</w:t>
      </w:r>
      <w:r>
        <w:rPr>
          <w:rFonts w:hint="eastAsia" w:ascii="Nimbus Roman No9 L" w:hAnsi="Nimbus Roman No9 L" w:eastAsia="仿宋_GB2312" w:cs="仿宋_GB2312"/>
          <w:bCs/>
          <w:sz w:val="32"/>
          <w:szCs w:val="32"/>
          <w:highlight w:val="none"/>
          <w:lang w:val="en"/>
        </w:rPr>
        <w:t>主要职责</w:t>
      </w:r>
      <w:r>
        <w:rPr>
          <w:rFonts w:hint="eastAsia" w:ascii="Nimbus Roman No9 L" w:hAnsi="Nimbus Roman No9 L" w:eastAsia="仿宋_GB2312" w:cs="仿宋_GB2312"/>
          <w:bCs/>
          <w:sz w:val="32"/>
          <w:szCs w:val="32"/>
          <w:highlight w:val="none"/>
          <w:lang w:val="en" w:eastAsia="zh-CN"/>
        </w:rPr>
        <w:t>包括</w:t>
      </w:r>
      <w:r>
        <w:rPr>
          <w:rFonts w:hint="eastAsia" w:ascii="Nimbus Roman No9 L" w:hAnsi="Nimbus Roman No9 L" w:eastAsia="仿宋_GB2312" w:cs="仿宋_GB2312"/>
          <w:bCs/>
          <w:sz w:val="32"/>
          <w:szCs w:val="32"/>
          <w:highlight w:val="none"/>
          <w:lang w:val="en"/>
        </w:rPr>
        <w:t>：</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（一）负责项目申报、实施，按要求完成任务合同书规定的任务，确保按时完成验收；</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pacing w:val="-6"/>
          <w:sz w:val="32"/>
          <w:szCs w:val="32"/>
          <w:highlight w:val="none"/>
          <w:lang w:val="en"/>
        </w:rPr>
      </w:pPr>
      <w:r>
        <w:rPr>
          <w:rFonts w:hint="eastAsia" w:ascii="Nimbus Roman No9 L" w:hAnsi="Nimbus Roman No9 L" w:eastAsia="仿宋_GB2312" w:cs="仿宋_GB2312"/>
          <w:bCs/>
          <w:sz w:val="32"/>
          <w:szCs w:val="32"/>
          <w:highlight w:val="none"/>
          <w:lang w:val="en"/>
        </w:rPr>
        <w:t>（二）按要求向项目第一承担单位报送项目执行情况、经费使</w:t>
      </w:r>
      <w:r>
        <w:rPr>
          <w:rFonts w:hint="eastAsia" w:ascii="Nimbus Roman No9 L" w:hAnsi="Nimbus Roman No9 L" w:eastAsia="仿宋_GB2312" w:cs="仿宋_GB2312"/>
          <w:bCs/>
          <w:spacing w:val="-6"/>
          <w:sz w:val="32"/>
          <w:szCs w:val="32"/>
          <w:highlight w:val="none"/>
          <w:lang w:val="en"/>
        </w:rPr>
        <w:t>用情况，编制提交科技报告，并及时报告项目实施中出现的重大事项；</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eastAsia="zh-CN"/>
        </w:rPr>
      </w:pPr>
      <w:r>
        <w:rPr>
          <w:rFonts w:hint="eastAsia" w:ascii="Nimbus Roman No9 L" w:hAnsi="Nimbus Roman No9 L" w:eastAsia="仿宋_GB2312" w:cs="仿宋_GB2312"/>
          <w:bCs/>
          <w:sz w:val="32"/>
          <w:szCs w:val="32"/>
          <w:highlight w:val="none"/>
          <w:lang w:val="en"/>
        </w:rPr>
        <w:t>（三）推进项目成果转化应用</w:t>
      </w:r>
      <w:r>
        <w:rPr>
          <w:rFonts w:hint="eastAsia" w:ascii="Nimbus Roman No9 L" w:hAnsi="Nimbus Roman No9 L" w:eastAsia="仿宋_GB2312" w:cs="仿宋_GB2312"/>
          <w:bCs/>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（四）弘扬科学家精神，带头并督促项目组成员恪守科研诚信，自觉遵守科技伦理要求，严格遵守各项管理规定，增强科普责任感和使命感，主动接受有关方面的监督。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rPr>
        <w:t xml:space="preserve"> </w:t>
      </w:r>
      <w:r>
        <w:rPr>
          <w:rFonts w:hint="eastAsia" w:ascii="Nimbus Roman No9 L" w:hAnsi="Nimbus Roman No9 L" w:eastAsia="仿宋_GB2312" w:cs="仿宋_GB2312"/>
          <w:bCs/>
          <w:sz w:val="32"/>
          <w:szCs w:val="32"/>
          <w:highlight w:val="none"/>
          <w:lang w:val="en"/>
        </w:rPr>
        <w:t>项目管理服务机构受市科技局委托，开展具体项目管理服务工作，主要职责包括：</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（一）承担项目的受理、评审、过程管理、验收、监督评估等具体工作；</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（二）客观及时地向市科技局反映工作中发现的问题；</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（三）市科技局委托的其他项目管理服务工作。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rPr>
        <w:t xml:space="preserve"> </w:t>
      </w:r>
      <w:r>
        <w:rPr>
          <w:rFonts w:hint="eastAsia" w:ascii="Nimbus Roman No9 L" w:hAnsi="Nimbus Roman No9 L" w:eastAsia="仿宋_GB2312" w:cs="仿宋_GB2312"/>
          <w:bCs/>
          <w:sz w:val="32"/>
          <w:szCs w:val="32"/>
          <w:highlight w:val="none"/>
          <w:lang w:eastAsia="zh-CN"/>
        </w:rPr>
        <w:t>项目</w:t>
      </w:r>
      <w:r>
        <w:rPr>
          <w:rFonts w:hint="eastAsia" w:ascii="Nimbus Roman No9 L" w:hAnsi="Nimbus Roman No9 L" w:eastAsia="仿宋_GB2312" w:cs="仿宋_GB2312"/>
          <w:bCs/>
          <w:sz w:val="32"/>
          <w:szCs w:val="32"/>
          <w:highlight w:val="none"/>
          <w:lang w:val="en"/>
        </w:rPr>
        <w:t>评审或咨询专家的主要职责是：</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接受市科技局</w:t>
      </w:r>
      <w:r>
        <w:rPr>
          <w:rFonts w:hint="eastAsia" w:ascii="Nimbus Roman No9 L" w:hAnsi="Nimbus Roman No9 L" w:eastAsia="仿宋_GB2312" w:cs="仿宋_GB2312"/>
          <w:bCs/>
          <w:strike w:val="0"/>
          <w:dstrike w:val="0"/>
          <w:sz w:val="32"/>
          <w:szCs w:val="32"/>
          <w:highlight w:val="none"/>
          <w:lang w:val="en"/>
        </w:rPr>
        <w:t>或项目管理服务机构</w:t>
      </w:r>
      <w:r>
        <w:rPr>
          <w:rFonts w:hint="eastAsia" w:ascii="Nimbus Roman No9 L" w:hAnsi="Nimbus Roman No9 L" w:eastAsia="仿宋_GB2312" w:cs="仿宋_GB2312"/>
          <w:bCs/>
          <w:sz w:val="32"/>
          <w:szCs w:val="32"/>
          <w:highlight w:val="none"/>
          <w:lang w:val="en"/>
        </w:rPr>
        <w:t>委托，对项目指南编制、评审、实施、验收、监督评估等工作提出独立、客观、公正的评审或咨询意见。</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outlineLvl w:val="0"/>
        <w:rPr>
          <w:rFonts w:hint="eastAsia" w:ascii="Nimbus Roman No9 L" w:hAnsi="Nimbus Roman No9 L" w:eastAsia="黑体" w:cs="黑体"/>
          <w:bCs/>
          <w:sz w:val="32"/>
          <w:szCs w:val="32"/>
          <w:highlight w:val="none"/>
        </w:rPr>
      </w:pPr>
      <w:r>
        <w:rPr>
          <w:rFonts w:hint="eastAsia" w:ascii="Nimbus Roman No9 L" w:hAnsi="Nimbus Roman No9 L" w:eastAsia="黑体" w:cs="黑体"/>
          <w:bCs/>
          <w:sz w:val="32"/>
          <w:szCs w:val="32"/>
          <w:highlight w:val="none"/>
        </w:rPr>
        <w:t>第三章</w:t>
      </w:r>
      <w:r>
        <w:rPr>
          <w:rFonts w:hint="eastAsia" w:ascii="Nimbus Roman No9 L" w:hAnsi="Nimbus Roman No9 L" w:eastAsia="黑体" w:cs="黑体"/>
          <w:bCs/>
          <w:sz w:val="32"/>
          <w:szCs w:val="32"/>
          <w:highlight w:val="none"/>
          <w:lang w:val="en-US" w:eastAsia="zh-CN"/>
        </w:rPr>
        <w:t xml:space="preserve"> </w:t>
      </w:r>
      <w:r>
        <w:rPr>
          <w:rFonts w:hint="eastAsia" w:ascii="Nimbus Roman No9 L" w:hAnsi="Nimbus Roman No9 L" w:eastAsia="黑体" w:cs="黑体"/>
          <w:bCs/>
          <w:sz w:val="32"/>
          <w:szCs w:val="32"/>
          <w:highlight w:val="none"/>
        </w:rPr>
        <w:t>项目形成</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outlineLvl w:val="0"/>
        <w:rPr>
          <w:rFonts w:hint="eastAsia" w:ascii="Nimbus Roman No9 L" w:hAnsi="Nimbus Roman No9 L" w:eastAsia="黑体" w:cs="黑体"/>
          <w:bCs/>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rPr>
        <w:t xml:space="preserve"> 市科技局根据国家科技计划体系，结合我市国民经济和社会发展需求，完善市级科技计划体系，</w:t>
      </w:r>
      <w:r>
        <w:rPr>
          <w:rFonts w:hint="eastAsia" w:ascii="Nimbus Roman No9 L" w:hAnsi="Nimbus Roman No9 L" w:eastAsia="仿宋_GB2312" w:cs="仿宋_GB2312"/>
          <w:sz w:val="32"/>
          <w:szCs w:val="32"/>
          <w:highlight w:val="none"/>
        </w:rPr>
        <w:t>推动项目、平台、人才、资金一体化配置。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rPr>
        <w:t xml:space="preserve"> </w:t>
      </w:r>
      <w:r>
        <w:rPr>
          <w:rFonts w:hint="eastAsia" w:ascii="Nimbus Roman No9 L" w:hAnsi="Nimbus Roman No9 L" w:eastAsia="仿宋_GB2312" w:cs="仿宋_GB2312"/>
          <w:sz w:val="32"/>
          <w:szCs w:val="32"/>
          <w:highlight w:val="none"/>
        </w:rPr>
        <w:t>围绕国民经济和社会发展的关键领域中的重大问题，聚焦重大战略产品和重大产业化目标，</w:t>
      </w:r>
      <w:r>
        <w:rPr>
          <w:rFonts w:hint="eastAsia" w:ascii="Nimbus Roman No9 L" w:hAnsi="Nimbus Roman No9 L" w:eastAsia="仿宋_GB2312" w:cs="仿宋_GB2312"/>
          <w:bCs/>
          <w:sz w:val="32"/>
          <w:szCs w:val="32"/>
          <w:highlight w:val="none"/>
        </w:rPr>
        <w:t>分级分类</w:t>
      </w:r>
      <w:r>
        <w:rPr>
          <w:rFonts w:hint="eastAsia" w:ascii="Nimbus Roman No9 L" w:hAnsi="Nimbus Roman No9 L" w:eastAsia="仿宋_GB2312" w:cs="仿宋_GB2312"/>
          <w:sz w:val="32"/>
          <w:szCs w:val="32"/>
          <w:highlight w:val="none"/>
        </w:rPr>
        <w:t>优化项目布局，通过重点突破带动关键领域跨越式发展，实现市级科技计划对关键核心技术攻关的集中支持。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rPr>
        <w:t xml:space="preserve"> </w:t>
      </w:r>
      <w:r>
        <w:rPr>
          <w:rFonts w:hint="eastAsia" w:ascii="Nimbus Roman No9 L" w:hAnsi="Nimbus Roman No9 L" w:eastAsia="仿宋_GB2312" w:cs="仿宋_GB2312"/>
          <w:bCs/>
          <w:sz w:val="32"/>
          <w:szCs w:val="32"/>
          <w:highlight w:val="none"/>
          <w:lang w:val="en"/>
        </w:rPr>
        <w:t>市科技局根据科技创新发展的新形势和新要求，</w:t>
      </w:r>
      <w:r>
        <w:rPr>
          <w:rFonts w:hint="eastAsia" w:ascii="Nimbus Roman No9 L" w:hAnsi="Nimbus Roman No9 L" w:eastAsia="仿宋_GB2312" w:cs="仿宋_GB2312"/>
          <w:bCs/>
          <w:sz w:val="32"/>
          <w:szCs w:val="32"/>
          <w:highlight w:val="none"/>
        </w:rPr>
        <w:t>针对市委、市政府重大决策部署，或涉及产业、民生</w:t>
      </w:r>
      <w:r>
        <w:rPr>
          <w:rFonts w:hint="eastAsia" w:ascii="Nimbus Roman No9 L" w:hAnsi="Nimbus Roman No9 L" w:eastAsia="仿宋_GB2312" w:cs="仿宋_GB2312"/>
          <w:bCs/>
          <w:sz w:val="32"/>
          <w:szCs w:val="32"/>
          <w:highlight w:val="none"/>
          <w:lang w:eastAsia="zh-CN"/>
        </w:rPr>
        <w:t>等</w:t>
      </w:r>
      <w:r>
        <w:rPr>
          <w:rFonts w:hint="eastAsia" w:ascii="Nimbus Roman No9 L" w:hAnsi="Nimbus Roman No9 L" w:eastAsia="仿宋_GB2312" w:cs="仿宋_GB2312"/>
          <w:bCs/>
          <w:sz w:val="32"/>
          <w:szCs w:val="32"/>
          <w:highlight w:val="none"/>
        </w:rPr>
        <w:t>领域重大科技创新活动、重大颠覆性成果需求，</w:t>
      </w:r>
      <w:r>
        <w:rPr>
          <w:rFonts w:hint="eastAsia" w:ascii="Nimbus Roman No9 L" w:hAnsi="Nimbus Roman No9 L" w:eastAsia="仿宋_GB2312" w:cs="仿宋_GB2312"/>
          <w:bCs/>
          <w:sz w:val="32"/>
          <w:szCs w:val="32"/>
          <w:highlight w:val="none"/>
          <w:lang w:val="en"/>
        </w:rPr>
        <w:t>持续优化项目形成机制</w:t>
      </w:r>
      <w:r>
        <w:rPr>
          <w:rFonts w:hint="eastAsia" w:ascii="Nimbus Roman No9 L" w:hAnsi="Nimbus Roman No9 L" w:eastAsia="仿宋_GB2312" w:cs="仿宋_GB2312"/>
          <w:bCs/>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rPr>
        <w:t xml:space="preserve"> </w:t>
      </w:r>
      <w:r>
        <w:rPr>
          <w:rFonts w:hint="eastAsia" w:ascii="Nimbus Roman No9 L" w:hAnsi="Nimbus Roman No9 L" w:eastAsia="仿宋_GB2312" w:cs="仿宋_GB2312"/>
          <w:bCs/>
          <w:sz w:val="32"/>
          <w:szCs w:val="32"/>
          <w:highlight w:val="none"/>
          <w:lang w:val="en"/>
        </w:rPr>
        <w:t>充分发挥市场在资源配置中的决定性作用，强化需求导向、问题导向、目标导向，完善公开竞争、定向择优、定向委托、“揭榜挂帅”、“赛马争先”、“应急通道”等项目形成机制，市科技局根据不同项目的特点，通过适当方式遴选项目承担单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rPr>
        <w:t xml:space="preserve"> </w:t>
      </w:r>
      <w:r>
        <w:rPr>
          <w:rFonts w:hint="eastAsia" w:ascii="Nimbus Roman No9 L" w:hAnsi="Nimbus Roman No9 L" w:eastAsia="仿宋_GB2312" w:cs="仿宋_GB2312"/>
          <w:bCs/>
          <w:sz w:val="32"/>
          <w:szCs w:val="32"/>
          <w:highlight w:val="none"/>
          <w:lang w:val="en"/>
        </w:rPr>
        <w:t>市科技局一般采取公开竞争的方式择优遴选项目承担单位，对具有明确战略目标、技术路线清晰、组织程度较高、优势承担单位集中的重大科技任务，可采取定向择优或定向委托的方式确定项目承担单位。</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“揭榜挂帅”适用于关键核心技术攻</w:t>
      </w:r>
      <w:r>
        <w:rPr>
          <w:rFonts w:hint="eastAsia" w:ascii="Nimbus Roman No9 L" w:hAnsi="Nimbus Roman No9 L" w:eastAsia="仿宋_GB2312" w:cs="仿宋_GB2312"/>
          <w:bCs/>
          <w:strike w:val="0"/>
          <w:dstrike w:val="0"/>
          <w:sz w:val="32"/>
          <w:szCs w:val="32"/>
          <w:highlight w:val="none"/>
          <w:lang w:val="en" w:eastAsia="zh-CN"/>
        </w:rPr>
        <w:t>关</w:t>
      </w:r>
      <w:r>
        <w:rPr>
          <w:rFonts w:hint="eastAsia" w:ascii="Nimbus Roman No9 L" w:hAnsi="Nimbus Roman No9 L" w:eastAsia="仿宋_GB2312" w:cs="仿宋_GB2312"/>
          <w:bCs/>
          <w:sz w:val="32"/>
          <w:szCs w:val="32"/>
          <w:highlight w:val="none"/>
          <w:lang w:val="en"/>
        </w:rPr>
        <w:t>等重大科技任务，以重大原创性成果产出为目标，以解决实际问题成效为衡量标准，由市科技局发布需求榜单，具有较强研发实力的单位均可参与揭榜，不设门槛、充分赋权、限时攻关，</w:t>
      </w:r>
      <w:r>
        <w:rPr>
          <w:rFonts w:hint="eastAsia" w:ascii="Nimbus Roman No9 L" w:hAnsi="Nimbus Roman No9 L" w:eastAsia="仿宋_GB2312" w:cs="仿宋_GB2312"/>
          <w:bCs/>
          <w:sz w:val="32"/>
          <w:szCs w:val="32"/>
          <w:highlight w:val="none"/>
          <w:lang w:val="en" w:eastAsia="zh-CN"/>
        </w:rPr>
        <w:t>突出</w:t>
      </w:r>
      <w:r>
        <w:rPr>
          <w:rFonts w:hint="eastAsia" w:ascii="Nimbus Roman No9 L" w:hAnsi="Nimbus Roman No9 L" w:eastAsia="仿宋_GB2312" w:cs="仿宋_GB2312"/>
          <w:bCs/>
          <w:sz w:val="32"/>
          <w:szCs w:val="32"/>
          <w:highlight w:val="none"/>
          <w:lang w:val="en"/>
        </w:rPr>
        <w:t>在真实应用场景下</w:t>
      </w:r>
      <w:r>
        <w:rPr>
          <w:rFonts w:hint="eastAsia" w:ascii="Nimbus Roman No9 L" w:hAnsi="Nimbus Roman No9 L" w:eastAsia="仿宋_GB2312" w:cs="仿宋_GB2312"/>
          <w:bCs/>
          <w:sz w:val="32"/>
          <w:szCs w:val="32"/>
          <w:highlight w:val="none"/>
          <w:lang w:val="en" w:eastAsia="zh-CN"/>
        </w:rPr>
        <w:t>开展</w:t>
      </w:r>
      <w:r>
        <w:rPr>
          <w:rFonts w:hint="eastAsia" w:ascii="Nimbus Roman No9 L" w:hAnsi="Nimbus Roman No9 L" w:eastAsia="仿宋_GB2312" w:cs="仿宋_GB2312"/>
          <w:bCs/>
          <w:sz w:val="32"/>
          <w:szCs w:val="32"/>
          <w:highlight w:val="none"/>
          <w:lang w:val="en"/>
        </w:rPr>
        <w:t>验收。</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“赛马争先”适用于探索性较强且急需的攻关任务，可择优选择技术路线明显不同的多个承担单位平行立项，前期实施动态竞争，视情况给予</w:t>
      </w:r>
      <w:r>
        <w:rPr>
          <w:rFonts w:hint="eastAsia" w:ascii="Nimbus Roman No9 L" w:hAnsi="Nimbus Roman No9 L" w:eastAsia="仿宋_GB2312" w:cs="仿宋_GB2312"/>
          <w:bCs/>
          <w:sz w:val="32"/>
          <w:szCs w:val="32"/>
          <w:highlight w:val="none"/>
          <w:lang w:val="en" w:eastAsia="zh-CN"/>
        </w:rPr>
        <w:t>各</w:t>
      </w:r>
      <w:r>
        <w:rPr>
          <w:rFonts w:hint="eastAsia" w:ascii="Nimbus Roman No9 L" w:hAnsi="Nimbus Roman No9 L" w:eastAsia="仿宋_GB2312" w:cs="仿宋_GB2312"/>
          <w:bCs/>
          <w:sz w:val="32"/>
          <w:szCs w:val="32"/>
          <w:highlight w:val="none"/>
          <w:lang w:val="en"/>
        </w:rPr>
        <w:t>承担单位一定比例启动资金支持，中后期根据考核评估结果确定是否继续支持。</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lang w:val="en"/>
        </w:rPr>
        <w:t>“应急通道”适用于重点产业或民生领域等需快速响应的紧急科研任务，</w:t>
      </w:r>
      <w:r>
        <w:rPr>
          <w:rFonts w:hint="eastAsia" w:ascii="Nimbus Roman No9 L" w:hAnsi="Nimbus Roman No9 L" w:eastAsia="仿宋_GB2312" w:cs="仿宋_GB2312"/>
          <w:bCs/>
          <w:sz w:val="32"/>
          <w:szCs w:val="32"/>
          <w:highlight w:val="none"/>
          <w:lang w:val="en" w:eastAsia="zh-CN"/>
        </w:rPr>
        <w:t>主要</w:t>
      </w:r>
      <w:r>
        <w:rPr>
          <w:rFonts w:hint="eastAsia" w:ascii="Nimbus Roman No9 L" w:hAnsi="Nimbus Roman No9 L" w:eastAsia="仿宋_GB2312" w:cs="仿宋_GB2312"/>
          <w:bCs/>
          <w:sz w:val="32"/>
          <w:szCs w:val="32"/>
          <w:highlight w:val="none"/>
          <w:lang w:val="en"/>
        </w:rPr>
        <w:t>通过后补助的方式，立即启动组织实施。</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outlineLvl w:val="0"/>
        <w:rPr>
          <w:rFonts w:hint="eastAsia" w:ascii="Nimbus Roman No9 L" w:hAnsi="Nimbus Roman No9 L" w:eastAsia="黑体" w:cs="黑体"/>
          <w:bCs/>
          <w:sz w:val="32"/>
          <w:szCs w:val="32"/>
          <w:highlight w:val="none"/>
        </w:rPr>
      </w:pPr>
      <w:r>
        <w:rPr>
          <w:rFonts w:hint="eastAsia" w:ascii="Nimbus Roman No9 L" w:hAnsi="Nimbus Roman No9 L" w:eastAsia="黑体" w:cs="黑体"/>
          <w:bCs/>
          <w:sz w:val="32"/>
          <w:szCs w:val="32"/>
          <w:highlight w:val="none"/>
        </w:rPr>
        <w:t>第四章</w:t>
      </w:r>
      <w:r>
        <w:rPr>
          <w:rFonts w:hint="eastAsia" w:ascii="Nimbus Roman No9 L" w:hAnsi="Nimbus Roman No9 L" w:eastAsia="黑体" w:cs="黑体"/>
          <w:bCs/>
          <w:sz w:val="32"/>
          <w:szCs w:val="32"/>
          <w:highlight w:val="none"/>
          <w:lang w:val="en-US" w:eastAsia="zh-CN"/>
        </w:rPr>
        <w:t xml:space="preserve"> </w:t>
      </w:r>
      <w:r>
        <w:rPr>
          <w:rFonts w:hint="eastAsia" w:ascii="Nimbus Roman No9 L" w:hAnsi="Nimbus Roman No9 L" w:eastAsia="黑体" w:cs="黑体"/>
          <w:bCs/>
          <w:sz w:val="32"/>
          <w:szCs w:val="32"/>
          <w:highlight w:val="none"/>
        </w:rPr>
        <w:t>申报与受理</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outlineLvl w:val="0"/>
        <w:rPr>
          <w:rFonts w:hint="eastAsia" w:ascii="Nimbus Roman No9 L" w:hAnsi="Nimbus Roman No9 L" w:eastAsia="黑体" w:cs="黑体"/>
          <w:bCs/>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rPr>
        <w:t xml:space="preserve"> </w:t>
      </w:r>
      <w:r>
        <w:rPr>
          <w:rFonts w:hint="eastAsia" w:ascii="Nimbus Roman No9 L" w:hAnsi="Nimbus Roman No9 L" w:eastAsia="仿宋_GB2312" w:cs="仿宋_GB2312"/>
          <w:bCs/>
          <w:sz w:val="32"/>
          <w:szCs w:val="32"/>
          <w:highlight w:val="none"/>
          <w:lang w:val="en"/>
        </w:rPr>
        <w:t>市科技局紧密围绕创新驱动发展战略、京津冀协同发展重大国家战略，以及天津市经济社会发展需求，广泛调研、充分吸纳各方意见，编制项目指南，明确优先支持重点和方向。自项目指南发布日到项目申报受理截止日，原则上不少于30天。根据项目特点，项目指南一般通过市科技局门户网站等渠道公开发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rPr>
        <w:t xml:space="preserve"> </w:t>
      </w:r>
      <w:r>
        <w:rPr>
          <w:rFonts w:hint="eastAsia" w:ascii="Nimbus Roman No9 L" w:hAnsi="Nimbus Roman No9 L" w:eastAsia="仿宋_GB2312" w:cs="仿宋_GB2312"/>
          <w:bCs/>
          <w:sz w:val="32"/>
          <w:szCs w:val="32"/>
          <w:highlight w:val="none"/>
          <w:lang w:val="en"/>
        </w:rPr>
        <w:t>符合项目指南要求的法人单位组织填写项目申报书，同一单位研究内容相同或相似的项目不得多头、重复申报。项目组织单位对管理范围内的申报项目进行审查。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rPr>
        <w:t xml:space="preserve"> 市科技局对申报项目进行审查，不符合要求的不予受理</w:t>
      </w:r>
      <w:r>
        <w:rPr>
          <w:rFonts w:hint="eastAsia" w:ascii="Nimbus Roman No9 L" w:hAnsi="Nimbus Roman No9 L" w:eastAsia="仿宋_GB2312" w:cs="仿宋_GB2312"/>
          <w:bCs/>
          <w:sz w:val="32"/>
          <w:szCs w:val="32"/>
          <w:highlight w:val="none"/>
          <w:lang w:val="en"/>
        </w:rPr>
        <w:t>。项目负责人</w:t>
      </w:r>
      <w:r>
        <w:rPr>
          <w:rFonts w:hint="eastAsia" w:ascii="Nimbus Roman No9 L" w:hAnsi="Nimbus Roman No9 L" w:eastAsia="仿宋_GB2312" w:cs="仿宋_GB2312"/>
          <w:bCs/>
          <w:sz w:val="32"/>
          <w:szCs w:val="32"/>
          <w:highlight w:val="none"/>
          <w:lang w:val="en" w:eastAsia="zh-CN"/>
        </w:rPr>
        <w:t>主持的</w:t>
      </w:r>
      <w:r>
        <w:rPr>
          <w:rFonts w:hint="eastAsia" w:ascii="Nimbus Roman No9 L" w:hAnsi="Nimbus Roman No9 L" w:eastAsia="仿宋_GB2312" w:cs="仿宋_GB2312"/>
          <w:bCs/>
          <w:sz w:val="32"/>
          <w:szCs w:val="32"/>
          <w:highlight w:val="none"/>
          <w:lang w:val="en"/>
        </w:rPr>
        <w:t>在研项目</w:t>
      </w:r>
      <w:r>
        <w:rPr>
          <w:rFonts w:hint="eastAsia" w:ascii="Nimbus Roman No9 L" w:hAnsi="Nimbus Roman No9 L" w:eastAsia="仿宋_GB2312" w:cs="仿宋_GB2312"/>
          <w:bCs/>
          <w:sz w:val="32"/>
          <w:szCs w:val="32"/>
          <w:highlight w:val="none"/>
          <w:lang w:val="en" w:eastAsia="zh-CN"/>
        </w:rPr>
        <w:t>数</w:t>
      </w:r>
      <w:r>
        <w:rPr>
          <w:rFonts w:hint="eastAsia" w:ascii="Nimbus Roman No9 L" w:hAnsi="Nimbus Roman No9 L" w:eastAsia="仿宋_GB2312" w:cs="仿宋_GB2312"/>
          <w:bCs/>
          <w:sz w:val="32"/>
          <w:szCs w:val="32"/>
          <w:highlight w:val="none"/>
          <w:lang w:val="en"/>
        </w:rPr>
        <w:t>原则上不</w:t>
      </w:r>
      <w:r>
        <w:rPr>
          <w:rFonts w:hint="eastAsia" w:ascii="Nimbus Roman No9 L" w:hAnsi="Nimbus Roman No9 L" w:eastAsia="仿宋_GB2312" w:cs="仿宋_GB2312"/>
          <w:bCs/>
          <w:sz w:val="32"/>
          <w:szCs w:val="32"/>
          <w:highlight w:val="none"/>
          <w:lang w:val="en" w:eastAsia="zh-CN"/>
        </w:rPr>
        <w:t>得</w:t>
      </w:r>
      <w:r>
        <w:rPr>
          <w:rFonts w:hint="eastAsia" w:ascii="Nimbus Roman No9 L" w:hAnsi="Nimbus Roman No9 L" w:eastAsia="仿宋_GB2312" w:cs="仿宋_GB2312"/>
          <w:bCs/>
          <w:sz w:val="32"/>
          <w:szCs w:val="32"/>
          <w:highlight w:val="none"/>
          <w:lang w:val="en"/>
        </w:rPr>
        <w:t>超过2项。</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outlineLvl w:val="0"/>
        <w:rPr>
          <w:rFonts w:hint="eastAsia" w:ascii="黑体" w:hAnsi="黑体" w:eastAsia="黑体" w:cs="黑体"/>
          <w:bCs/>
          <w:sz w:val="32"/>
          <w:szCs w:val="32"/>
          <w:highlight w:val="none"/>
        </w:rPr>
      </w:pPr>
      <w:r>
        <w:rPr>
          <w:rFonts w:hint="eastAsia" w:ascii="黑体" w:hAnsi="黑体" w:eastAsia="黑体" w:cs="黑体"/>
          <w:bCs/>
          <w:sz w:val="32"/>
          <w:szCs w:val="32"/>
          <w:highlight w:val="none"/>
        </w:rPr>
        <w:t>第五章</w:t>
      </w:r>
      <w:r>
        <w:rPr>
          <w:rFonts w:hint="eastAsia" w:ascii="黑体" w:hAnsi="黑体" w:eastAsia="黑体" w:cs="黑体"/>
          <w:bCs/>
          <w:sz w:val="32"/>
          <w:szCs w:val="32"/>
          <w:highlight w:val="none"/>
          <w:lang w:val="en-US" w:eastAsia="zh-CN"/>
        </w:rPr>
        <w:t xml:space="preserve"> </w:t>
      </w:r>
      <w:r>
        <w:rPr>
          <w:rFonts w:hint="eastAsia" w:ascii="黑体" w:hAnsi="黑体" w:eastAsia="黑体" w:cs="黑体"/>
          <w:bCs/>
          <w:sz w:val="32"/>
          <w:szCs w:val="32"/>
          <w:highlight w:val="none"/>
        </w:rPr>
        <w:t>评审与立项</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outlineLvl w:val="0"/>
        <w:rPr>
          <w:rFonts w:hint="eastAsia" w:ascii="黑体" w:hAnsi="黑体" w:eastAsia="黑体" w:cs="黑体"/>
          <w:bCs/>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rPr>
        <w:t xml:space="preserve"> </w:t>
      </w:r>
      <w:r>
        <w:rPr>
          <w:rFonts w:hint="eastAsia" w:ascii="Nimbus Roman No9 L" w:hAnsi="Nimbus Roman No9 L" w:eastAsia="仿宋_GB2312" w:cs="仿宋_GB2312"/>
          <w:bCs/>
          <w:sz w:val="32"/>
          <w:szCs w:val="32"/>
          <w:highlight w:val="none"/>
          <w:lang w:val="en"/>
        </w:rPr>
        <w:t>根据不同项目特点，采取相应的评审方法和评价标准，可重点评价项目申报书中的技术指标、经济指标与指南的相符性，技术路线与方案的创新性和可行性，科技成果评价指标的合理性，以及项目前期工作基础及实施条件等。不把论文专利、人才“帽子”、承担科研任务、奖励等情况作为限制性条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rPr>
        <w:t xml:space="preserve"> </w:t>
      </w:r>
      <w:r>
        <w:rPr>
          <w:rFonts w:hint="eastAsia" w:ascii="Nimbus Roman No9 L" w:hAnsi="Nimbus Roman No9 L" w:eastAsia="仿宋_GB2312" w:cs="仿宋_GB2312"/>
          <w:bCs/>
          <w:sz w:val="32"/>
          <w:szCs w:val="32"/>
          <w:highlight w:val="none"/>
          <w:lang w:val="en"/>
        </w:rPr>
        <w:t>市科技局按照我市科技专家库管理的相关规定选取项目评审专家，评审专家名单向社会公开。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rPr>
        <w:t xml:space="preserve"> 项目</w:t>
      </w:r>
      <w:r>
        <w:rPr>
          <w:rFonts w:hint="eastAsia" w:ascii="Nimbus Roman No9 L" w:hAnsi="Nimbus Roman No9 L" w:eastAsia="仿宋_GB2312" w:cs="仿宋_GB2312"/>
          <w:bCs/>
          <w:sz w:val="32"/>
          <w:szCs w:val="32"/>
          <w:highlight w:val="none"/>
          <w:lang w:val="en"/>
        </w:rPr>
        <w:t>评审方式主要包括通讯评审、会议评审和现场</w:t>
      </w:r>
      <w:r>
        <w:rPr>
          <w:rFonts w:hint="eastAsia" w:ascii="Nimbus Roman No9 L" w:hAnsi="Nimbus Roman No9 L" w:eastAsia="仿宋_GB2312" w:cs="仿宋_GB2312"/>
          <w:bCs/>
          <w:sz w:val="32"/>
          <w:szCs w:val="32"/>
          <w:highlight w:val="none"/>
        </w:rPr>
        <w:t>考察或核查</w:t>
      </w:r>
      <w:r>
        <w:rPr>
          <w:rFonts w:hint="eastAsia" w:ascii="Nimbus Roman No9 L" w:hAnsi="Nimbus Roman No9 L" w:eastAsia="仿宋_GB2312" w:cs="仿宋_GB2312"/>
          <w:bCs/>
          <w:sz w:val="32"/>
          <w:szCs w:val="32"/>
          <w:highlight w:val="none"/>
          <w:lang w:val="en"/>
        </w:rPr>
        <w:t>等。会议评审前给专家提供充足的时间熟悉项目指南及申报材料，需要答辩的，原则上项目负责人亲自汇报答辩，非项目组成员不得参与答辩。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rPr>
        <w:t xml:space="preserve"> </w:t>
      </w:r>
      <w:r>
        <w:rPr>
          <w:rFonts w:hint="eastAsia" w:ascii="Nimbus Roman No9 L" w:hAnsi="Nimbus Roman No9 L" w:eastAsia="仿宋_GB2312" w:cs="仿宋_GB2312"/>
          <w:bCs/>
          <w:sz w:val="32"/>
          <w:szCs w:val="32"/>
          <w:highlight w:val="none"/>
          <w:lang w:val="en"/>
        </w:rPr>
        <w:t>市科技局局长办公会严格依据专家评审意见审定拟立项项目</w:t>
      </w:r>
      <w:r>
        <w:rPr>
          <w:rFonts w:hint="eastAsia" w:ascii="Nimbus Roman No9 L" w:hAnsi="Nimbus Roman No9 L" w:eastAsia="仿宋_GB2312" w:cs="仿宋_GB2312"/>
          <w:bCs/>
          <w:sz w:val="32"/>
          <w:szCs w:val="32"/>
          <w:highlight w:val="none"/>
          <w:lang w:val="en" w:eastAsia="zh-CN"/>
        </w:rPr>
        <w:t>。在符合科学技术保密规定的前提下，</w:t>
      </w:r>
      <w:r>
        <w:rPr>
          <w:rFonts w:hint="eastAsia" w:ascii="Nimbus Roman No9 L" w:hAnsi="Nimbus Roman No9 L" w:eastAsia="仿宋_GB2312" w:cs="仿宋_GB2312"/>
          <w:bCs/>
          <w:sz w:val="32"/>
          <w:szCs w:val="32"/>
          <w:highlight w:val="none"/>
          <w:lang w:val="en"/>
        </w:rPr>
        <w:t>拟立项项目一般通过市科技局门户网站等渠道公示，公示期不少于</w:t>
      </w:r>
      <w:r>
        <w:rPr>
          <w:rFonts w:hint="eastAsia" w:ascii="Nimbus Roman No9 L" w:hAnsi="Nimbus Roman No9 L" w:eastAsia="仿宋_GB2312" w:cs="仿宋_GB2312"/>
          <w:bCs/>
          <w:sz w:val="32"/>
          <w:szCs w:val="32"/>
          <w:highlight w:val="none"/>
        </w:rPr>
        <w:t>5个工作日</w:t>
      </w:r>
      <w:r>
        <w:rPr>
          <w:rFonts w:hint="eastAsia" w:ascii="Nimbus Roman No9 L" w:hAnsi="Nimbus Roman No9 L" w:eastAsia="仿宋_GB2312" w:cs="仿宋_GB2312"/>
          <w:bCs/>
          <w:sz w:val="32"/>
          <w:szCs w:val="32"/>
          <w:highlight w:val="none"/>
          <w:lang w:val="e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rPr>
        <w:t xml:space="preserve"> </w:t>
      </w:r>
      <w:r>
        <w:rPr>
          <w:rFonts w:hint="eastAsia" w:ascii="Nimbus Roman No9 L" w:hAnsi="Nimbus Roman No9 L" w:eastAsia="仿宋_GB2312" w:cs="仿宋_GB2312"/>
          <w:bCs/>
          <w:sz w:val="32"/>
          <w:szCs w:val="32"/>
          <w:highlight w:val="none"/>
          <w:lang w:val="en"/>
        </w:rPr>
        <w:t>市科技局对公示无异议的项目下达立项通知。对于公示期间有异议、且经核实异议成立的项目，不予立项。市科技局与项目承担单位、项目组织单位签订任务合同书。项目承担单位不能按期签订任务合同书的，视同自动放弃，不予立项。以奖励性后补助方式资助的项目，无需签订任务合同书。</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sz w:val="32"/>
          <w:szCs w:val="32"/>
          <w:highlight w:val="none"/>
        </w:rPr>
        <w:t>　</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outlineLvl w:val="0"/>
        <w:rPr>
          <w:rFonts w:hint="eastAsia" w:ascii="Nimbus Roman No9 L" w:hAnsi="Nimbus Roman No9 L" w:eastAsia="黑体" w:cs="黑体"/>
          <w:bCs/>
          <w:sz w:val="32"/>
          <w:szCs w:val="32"/>
          <w:highlight w:val="none"/>
        </w:rPr>
      </w:pPr>
      <w:r>
        <w:rPr>
          <w:rFonts w:hint="eastAsia" w:ascii="Nimbus Roman No9 L" w:hAnsi="Nimbus Roman No9 L" w:eastAsia="黑体" w:cs="黑体"/>
          <w:bCs/>
          <w:sz w:val="32"/>
          <w:szCs w:val="32"/>
          <w:highlight w:val="none"/>
        </w:rPr>
        <w:t>第六章</w:t>
      </w:r>
      <w:r>
        <w:rPr>
          <w:rFonts w:hint="eastAsia" w:ascii="Nimbus Roman No9 L" w:hAnsi="Nimbus Roman No9 L" w:eastAsia="黑体" w:cs="黑体"/>
          <w:bCs/>
          <w:sz w:val="32"/>
          <w:szCs w:val="32"/>
          <w:highlight w:val="none"/>
          <w:lang w:val="en-US" w:eastAsia="zh-CN"/>
        </w:rPr>
        <w:t xml:space="preserve"> </w:t>
      </w:r>
      <w:r>
        <w:rPr>
          <w:rFonts w:hint="eastAsia" w:ascii="Nimbus Roman No9 L" w:hAnsi="Nimbus Roman No9 L" w:eastAsia="黑体" w:cs="黑体"/>
          <w:bCs/>
          <w:sz w:val="32"/>
          <w:szCs w:val="32"/>
          <w:highlight w:val="none"/>
        </w:rPr>
        <w:t>实施管理</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outlineLvl w:val="0"/>
        <w:rPr>
          <w:rFonts w:hint="eastAsia" w:ascii="Nimbus Roman No9 L" w:hAnsi="Nimbus Roman No9 L" w:eastAsia="黑体" w:cs="黑体"/>
          <w:bCs/>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rPr>
        <w:t xml:space="preserve"> </w:t>
      </w:r>
      <w:r>
        <w:rPr>
          <w:rFonts w:hint="eastAsia" w:ascii="Nimbus Roman No9 L" w:hAnsi="Nimbus Roman No9 L" w:eastAsia="仿宋_GB2312" w:cs="仿宋_GB2312"/>
          <w:bCs/>
          <w:sz w:val="32"/>
          <w:szCs w:val="32"/>
          <w:highlight w:val="none"/>
          <w:lang w:val="en"/>
        </w:rPr>
        <w:t>市科技局、项目组织单位、项目承担单位、项目负责人应按照项目任务合同书的约定，履行各自的责任和义务，共同完成项目总体目标。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rPr>
        <w:t xml:space="preserve"> </w:t>
      </w:r>
      <w:r>
        <w:rPr>
          <w:rFonts w:hint="eastAsia" w:ascii="Nimbus Roman No9 L" w:hAnsi="Nimbus Roman No9 L" w:eastAsia="仿宋_GB2312" w:cs="仿宋_GB2312"/>
          <w:bCs/>
          <w:sz w:val="32"/>
          <w:szCs w:val="32"/>
          <w:highlight w:val="none"/>
          <w:lang w:val="en"/>
        </w:rPr>
        <w:t>实施周期三年及以下的项目，以承担单位自我管理为主，市科技局一般不开展过程检查。任务导向型的项目全面推行“里程碑”关键节点考核，对实施进度严重滞后或未达到预期绩效目标的项目，视情况予以调整或办理终止手续。</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rPr>
        <w:t xml:space="preserve"> </w:t>
      </w:r>
      <w:r>
        <w:rPr>
          <w:rFonts w:hint="eastAsia" w:ascii="Nimbus Roman No9 L" w:hAnsi="Nimbus Roman No9 L" w:eastAsia="仿宋_GB2312" w:cs="仿宋_GB2312"/>
          <w:bCs/>
          <w:sz w:val="32"/>
          <w:szCs w:val="32"/>
          <w:highlight w:val="none"/>
          <w:lang w:val="en"/>
        </w:rPr>
        <w:t>项目承担单位每年需对项目的实施情况、目标实现情况、成果产出及进展情况、经费支出情况等进行自评价，并及时将评价情况报告市科技局。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rPr>
        <w:t xml:space="preserve"> </w:t>
      </w:r>
      <w:r>
        <w:rPr>
          <w:rFonts w:hint="eastAsia" w:ascii="Nimbus Roman No9 L" w:hAnsi="Nimbus Roman No9 L" w:eastAsia="仿宋_GB2312" w:cs="仿宋_GB2312"/>
          <w:bCs/>
          <w:sz w:val="32"/>
          <w:szCs w:val="32"/>
          <w:highlight w:val="none"/>
          <w:lang w:val="en"/>
        </w:rPr>
        <w:t>项目负责人可根据科研活动实际情况，在不改变研究方向和不降低考核指标的前提下，自主调整研究方法和技术方案，报项目</w:t>
      </w:r>
      <w:r>
        <w:rPr>
          <w:rFonts w:hint="eastAsia" w:ascii="Nimbus Roman No9 L" w:hAnsi="Nimbus Roman No9 L" w:eastAsia="仿宋_GB2312" w:cs="仿宋_GB2312"/>
          <w:sz w:val="32"/>
          <w:szCs w:val="32"/>
          <w:highlight w:val="none"/>
        </w:rPr>
        <w:t>第一</w:t>
      </w:r>
      <w:r>
        <w:rPr>
          <w:rFonts w:hint="eastAsia" w:ascii="Nimbus Roman No9 L" w:hAnsi="Nimbus Roman No9 L" w:eastAsia="仿宋_GB2312" w:cs="仿宋_GB2312"/>
          <w:bCs/>
          <w:sz w:val="32"/>
          <w:szCs w:val="32"/>
          <w:highlight w:val="none"/>
          <w:lang w:val="en"/>
        </w:rPr>
        <w:t>承担单位备案。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rPr>
        <w:t xml:space="preserve"> </w:t>
      </w:r>
      <w:r>
        <w:rPr>
          <w:rFonts w:hint="eastAsia" w:ascii="Nimbus Roman No9 L" w:hAnsi="Nimbus Roman No9 L" w:eastAsia="仿宋_GB2312" w:cs="仿宋_GB2312"/>
          <w:bCs/>
          <w:sz w:val="32"/>
          <w:szCs w:val="32"/>
          <w:highlight w:val="none"/>
          <w:lang w:val="en"/>
        </w:rPr>
        <w:t>项目任务合同书中约定的内容原则上不予变更。因项目承担单位、项目负责人、技术、市场、政策等发生重大变化，及其他</w:t>
      </w:r>
      <w:r>
        <w:rPr>
          <w:rFonts w:hint="eastAsia" w:ascii="Nimbus Roman No9 L" w:hAnsi="Nimbus Roman No9 L" w:eastAsia="仿宋_GB2312" w:cs="仿宋_GB2312"/>
          <w:sz w:val="32"/>
          <w:szCs w:val="32"/>
          <w:highlight w:val="none"/>
        </w:rPr>
        <w:t>不可抗</w:t>
      </w:r>
      <w:r>
        <w:rPr>
          <w:rFonts w:hint="eastAsia" w:ascii="Nimbus Roman No9 L" w:hAnsi="Nimbus Roman No9 L" w:eastAsia="仿宋_GB2312" w:cs="仿宋_GB2312"/>
          <w:sz w:val="32"/>
          <w:szCs w:val="32"/>
          <w:highlight w:val="none"/>
          <w:lang w:eastAsia="zh-CN"/>
        </w:rPr>
        <w:t>力因素</w:t>
      </w:r>
      <w:r>
        <w:rPr>
          <w:rFonts w:hint="eastAsia" w:ascii="Nimbus Roman No9 L" w:hAnsi="Nimbus Roman No9 L" w:eastAsia="仿宋_GB2312" w:cs="仿宋_GB2312"/>
          <w:bCs/>
          <w:sz w:val="32"/>
          <w:szCs w:val="32"/>
          <w:highlight w:val="none"/>
          <w:lang w:val="en"/>
        </w:rPr>
        <w:t>确需变更的，</w:t>
      </w:r>
      <w:r>
        <w:rPr>
          <w:rFonts w:hint="eastAsia" w:ascii="Nimbus Roman No9 L" w:hAnsi="Nimbus Roman No9 L" w:eastAsia="仿宋_GB2312" w:cs="仿宋_GB2312"/>
          <w:sz w:val="32"/>
          <w:szCs w:val="32"/>
          <w:highlight w:val="none"/>
        </w:rPr>
        <w:t>项目第一承担单位应在</w:t>
      </w:r>
      <w:r>
        <w:rPr>
          <w:rFonts w:hint="eastAsia" w:ascii="Nimbus Roman No9 L" w:hAnsi="Nimbus Roman No9 L" w:eastAsia="仿宋_GB2312" w:cs="仿宋_GB2312"/>
          <w:bCs/>
          <w:sz w:val="32"/>
          <w:szCs w:val="32"/>
          <w:highlight w:val="none"/>
          <w:lang w:val="en"/>
        </w:rPr>
        <w:t>项目执行期内，按程序报市科技局备案或审批：</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sz w:val="32"/>
          <w:szCs w:val="32"/>
          <w:highlight w:val="none"/>
        </w:rPr>
        <w:t>（一）更换项目组织单位，变更项目第一承担单位名称、开户银行、账户名称、银行账号、其他承担单位名称等信息，调整项目组成员，报市科技局备案；</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sz w:val="32"/>
          <w:szCs w:val="32"/>
          <w:highlight w:val="none"/>
        </w:rPr>
        <w:t>（二）更换项目承担单位、项目负责人，调整项目主要研究内容和考核指标，报市科技局</w:t>
      </w:r>
      <w:r>
        <w:rPr>
          <w:rFonts w:hint="eastAsia" w:ascii="Nimbus Roman No9 L" w:hAnsi="Nimbus Roman No9 L" w:eastAsia="仿宋_GB2312" w:cs="仿宋_GB2312"/>
          <w:bCs/>
          <w:sz w:val="32"/>
          <w:szCs w:val="32"/>
          <w:highlight w:val="none"/>
          <w:lang w:val="en"/>
        </w:rPr>
        <w:t>审批</w:t>
      </w:r>
      <w:r>
        <w:rPr>
          <w:rFonts w:hint="eastAsia" w:ascii="Nimbus Roman No9 L" w:hAnsi="Nimbus Roman No9 L"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sz w:val="32"/>
          <w:szCs w:val="32"/>
          <w:highlight w:val="none"/>
        </w:rPr>
        <w:t>（三）延长项目执行期，报市科技局</w:t>
      </w:r>
      <w:r>
        <w:rPr>
          <w:rFonts w:hint="eastAsia" w:ascii="Nimbus Roman No9 L" w:hAnsi="Nimbus Roman No9 L" w:eastAsia="仿宋_GB2312" w:cs="仿宋_GB2312"/>
          <w:bCs/>
          <w:sz w:val="32"/>
          <w:szCs w:val="32"/>
          <w:highlight w:val="none"/>
          <w:lang w:val="en"/>
        </w:rPr>
        <w:t>审批</w:t>
      </w:r>
      <w:r>
        <w:rPr>
          <w:rFonts w:hint="eastAsia" w:ascii="Nimbus Roman No9 L" w:hAnsi="Nimbus Roman No9 L" w:eastAsia="仿宋_GB2312" w:cs="仿宋_GB2312"/>
          <w:sz w:val="32"/>
          <w:szCs w:val="32"/>
          <w:highlight w:val="none"/>
        </w:rPr>
        <w:t>。项目延期</w:t>
      </w:r>
      <w:r>
        <w:rPr>
          <w:rFonts w:hint="eastAsia" w:ascii="Nimbus Roman No9 L" w:hAnsi="Nimbus Roman No9 L" w:eastAsia="仿宋_GB2312" w:cs="仿宋_GB2312"/>
          <w:bCs/>
          <w:sz w:val="32"/>
          <w:szCs w:val="32"/>
          <w:highlight w:val="none"/>
          <w:lang w:val="en"/>
        </w:rPr>
        <w:t>原则上只能申请1次，延期时间原则上不超过1年</w:t>
      </w:r>
      <w:r>
        <w:rPr>
          <w:rFonts w:hint="eastAsia" w:ascii="Nimbus Roman No9 L" w:hAnsi="Nimbus Roman No9 L" w:eastAsia="仿宋_GB2312" w:cs="仿宋_GB2312"/>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bCs/>
          <w:sz w:val="32"/>
          <w:szCs w:val="32"/>
          <w:highlight w:val="none"/>
          <w:lang w:val="en"/>
        </w:rPr>
      </w:pPr>
      <w:r>
        <w:rPr>
          <w:rFonts w:hint="eastAsia" w:ascii="Nimbus Roman No9 L" w:hAnsi="Nimbus Roman No9 L" w:eastAsia="仿宋_GB2312" w:cs="仿宋_GB2312"/>
          <w:bCs/>
          <w:sz w:val="32"/>
          <w:szCs w:val="32"/>
          <w:highlight w:val="none"/>
        </w:rPr>
        <w:t xml:space="preserve"> </w:t>
      </w:r>
      <w:r>
        <w:rPr>
          <w:rFonts w:hint="eastAsia" w:ascii="Nimbus Roman No9 L" w:hAnsi="Nimbus Roman No9 L" w:eastAsia="仿宋_GB2312" w:cs="仿宋_GB2312"/>
          <w:bCs/>
          <w:sz w:val="32"/>
          <w:szCs w:val="32"/>
          <w:highlight w:val="none"/>
          <w:lang w:val="en"/>
        </w:rPr>
        <w:t>项目实施过程中有下列问题之一的，项目</w:t>
      </w:r>
      <w:r>
        <w:rPr>
          <w:rFonts w:hint="eastAsia" w:ascii="Nimbus Roman No9 L" w:hAnsi="Nimbus Roman No9 L" w:eastAsia="仿宋_GB2312" w:cs="仿宋_GB2312"/>
          <w:sz w:val="32"/>
          <w:szCs w:val="32"/>
          <w:highlight w:val="none"/>
        </w:rPr>
        <w:t>第一</w:t>
      </w:r>
      <w:r>
        <w:rPr>
          <w:rFonts w:hint="eastAsia" w:ascii="Nimbus Roman No9 L" w:hAnsi="Nimbus Roman No9 L" w:eastAsia="仿宋_GB2312" w:cs="仿宋_GB2312"/>
          <w:bCs/>
          <w:sz w:val="32"/>
          <w:szCs w:val="32"/>
          <w:highlight w:val="none"/>
          <w:lang w:val="en"/>
        </w:rPr>
        <w:t>承担单位和项目组织单位均可提出撤销或终止项目的申请，报市科技局审批。必要时，市科技局可主动撤销或终止项目。</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sz w:val="32"/>
          <w:szCs w:val="32"/>
          <w:highlight w:val="none"/>
        </w:rPr>
        <w:t>（一）经实践证明，项目技术路线不合理、不可行，或项目无法实现任务合同书规定的进度且无改进办法；</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sz w:val="32"/>
          <w:szCs w:val="32"/>
          <w:highlight w:val="none"/>
        </w:rPr>
        <w:t>（二）项目执行中出现严重的知识产权纠纷；</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sz w:val="32"/>
          <w:szCs w:val="32"/>
          <w:highlight w:val="none"/>
        </w:rPr>
        <w:t>（三）完成项目任务所需的经费、原材料、人员、支撑条件等未落实或发生改变导致研究无法正常进行；</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sz w:val="32"/>
          <w:szCs w:val="32"/>
          <w:highlight w:val="none"/>
        </w:rPr>
        <w:t>（四）组织管理不力或者发生重大问题导致项目无法进行；</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sz w:val="32"/>
          <w:szCs w:val="32"/>
          <w:highlight w:val="none"/>
        </w:rPr>
        <w:t>（五）项目实施过程中出现严重违规违纪行为，严重科研不端行为，不按规定进行整改或拒绝整改；</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sz w:val="32"/>
          <w:szCs w:val="32"/>
          <w:highlight w:val="none"/>
        </w:rPr>
        <w:t>（六）无正当理由且项目执行期满后超6个月仍未完成验收；</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sz w:val="32"/>
          <w:szCs w:val="32"/>
          <w:highlight w:val="none"/>
        </w:rPr>
        <w:t>（七）项目任务合同书规定其他可以撤销或终止的情况。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bCs/>
          <w:sz w:val="32"/>
          <w:szCs w:val="32"/>
          <w:highlight w:val="none"/>
        </w:rPr>
        <w:t xml:space="preserve"> </w:t>
      </w:r>
      <w:r>
        <w:rPr>
          <w:rFonts w:hint="eastAsia" w:ascii="Nimbus Roman No9 L" w:hAnsi="Nimbus Roman No9 L" w:eastAsia="仿宋_GB2312" w:cs="仿宋_GB2312"/>
          <w:sz w:val="32"/>
          <w:szCs w:val="32"/>
          <w:highlight w:val="none"/>
        </w:rPr>
        <w:t>撤销项目的，项目第一承担单位应当牵头返还已拨付的全部财政资金。终止项目的，项目第一承担单位应对已开展工作、经费使用、已购置设备仪器、阶段性成果、知识产权等情况做出书面报告，经市科技局核查批准后，依规完成后续相关工作。</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jc w:val="center"/>
        <w:textAlignment w:val="auto"/>
        <w:rPr>
          <w:rFonts w:hint="eastAsia" w:ascii="Nimbus Roman No9 L" w:hAnsi="Nimbus Roman No9 L" w:eastAsia="仿宋_GB2312" w:cs="仿宋_GB2312"/>
          <w:b/>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outlineLvl w:val="0"/>
        <w:rPr>
          <w:rFonts w:hint="eastAsia" w:ascii="Nimbus Roman No9 L" w:hAnsi="Nimbus Roman No9 L" w:eastAsia="黑体" w:cs="黑体"/>
          <w:bCs/>
          <w:sz w:val="32"/>
          <w:szCs w:val="32"/>
          <w:highlight w:val="none"/>
        </w:rPr>
      </w:pPr>
      <w:r>
        <w:rPr>
          <w:rFonts w:hint="eastAsia" w:ascii="Nimbus Roman No9 L" w:hAnsi="Nimbus Roman No9 L" w:eastAsia="黑体" w:cs="黑体"/>
          <w:bCs/>
          <w:sz w:val="32"/>
          <w:szCs w:val="32"/>
          <w:highlight w:val="none"/>
        </w:rPr>
        <w:t>第七章</w:t>
      </w:r>
      <w:r>
        <w:rPr>
          <w:rFonts w:hint="eastAsia" w:ascii="Nimbus Roman No9 L" w:hAnsi="Nimbus Roman No9 L" w:eastAsia="黑体" w:cs="黑体"/>
          <w:bCs/>
          <w:sz w:val="32"/>
          <w:szCs w:val="32"/>
          <w:highlight w:val="none"/>
          <w:lang w:val="en-US" w:eastAsia="zh-CN"/>
        </w:rPr>
        <w:t xml:space="preserve"> </w:t>
      </w:r>
      <w:r>
        <w:rPr>
          <w:rFonts w:hint="eastAsia" w:ascii="Nimbus Roman No9 L" w:hAnsi="Nimbus Roman No9 L" w:eastAsia="黑体" w:cs="黑体"/>
          <w:bCs/>
          <w:sz w:val="32"/>
          <w:szCs w:val="32"/>
          <w:highlight w:val="none"/>
        </w:rPr>
        <w:t>验收与成果转化</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outlineLvl w:val="0"/>
        <w:rPr>
          <w:rFonts w:hint="eastAsia" w:ascii="Nimbus Roman No9 L" w:hAnsi="Nimbus Roman No9 L" w:eastAsia="黑体" w:cs="黑体"/>
          <w:bCs/>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bCs/>
          <w:sz w:val="32"/>
          <w:szCs w:val="32"/>
          <w:highlight w:val="none"/>
        </w:rPr>
        <w:t xml:space="preserve"> </w:t>
      </w:r>
      <w:r>
        <w:rPr>
          <w:rFonts w:hint="eastAsia" w:ascii="Nimbus Roman No9 L" w:hAnsi="Nimbus Roman No9 L" w:eastAsia="仿宋_GB2312" w:cs="仿宋_GB2312"/>
          <w:sz w:val="32"/>
          <w:szCs w:val="32"/>
          <w:highlight w:val="none"/>
        </w:rPr>
        <w:t>项目第一承担单位、项目负责人应按照项目验收管理有关要求及项目任务合同书约定，认真履行项目验收相关义务。无正当理由超过项目执行期6个月未完成验收的，将按照国家和我市科研诚信等</w:t>
      </w:r>
      <w:r>
        <w:rPr>
          <w:rFonts w:hint="eastAsia" w:ascii="Nimbus Roman No9 L" w:hAnsi="Nimbus Roman No9 L" w:eastAsia="仿宋_GB2312" w:cs="仿宋_GB2312"/>
          <w:sz w:val="32"/>
          <w:szCs w:val="32"/>
          <w:highlight w:val="none"/>
          <w:lang w:eastAsia="zh-CN"/>
        </w:rPr>
        <w:t>相关</w:t>
      </w:r>
      <w:r>
        <w:rPr>
          <w:rFonts w:hint="eastAsia" w:ascii="Nimbus Roman No9 L" w:hAnsi="Nimbus Roman No9 L" w:eastAsia="仿宋_GB2312" w:cs="仿宋_GB2312"/>
          <w:sz w:val="32"/>
          <w:szCs w:val="32"/>
          <w:highlight w:val="none"/>
        </w:rPr>
        <w:t>规定，对相关责任主体给予处理。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bCs/>
          <w:sz w:val="32"/>
          <w:szCs w:val="32"/>
          <w:highlight w:val="none"/>
        </w:rPr>
        <w:t xml:space="preserve"> </w:t>
      </w:r>
      <w:r>
        <w:rPr>
          <w:rFonts w:hint="eastAsia" w:ascii="Nimbus Roman No9 L" w:hAnsi="Nimbus Roman No9 L" w:eastAsia="仿宋_GB2312" w:cs="仿宋_GB2312"/>
          <w:sz w:val="32"/>
          <w:szCs w:val="32"/>
          <w:highlight w:val="none"/>
        </w:rPr>
        <w:t>市科技局采取“一站式验收服务”模式，合并项目的财务验收和技术验收，委托项目管理服务机构依据项目任务合同书，采取一次性综合绩效评价的方式，对项目进行验收评价。具体程序按照我市项目验收管理有关规定执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bCs/>
          <w:sz w:val="32"/>
          <w:szCs w:val="32"/>
          <w:highlight w:val="none"/>
        </w:rPr>
        <w:t xml:space="preserve"> </w:t>
      </w:r>
      <w:r>
        <w:rPr>
          <w:rFonts w:hint="eastAsia" w:ascii="Nimbus Roman No9 L" w:hAnsi="Nimbus Roman No9 L" w:eastAsia="仿宋_GB2312" w:cs="仿宋_GB2312"/>
          <w:sz w:val="32"/>
          <w:szCs w:val="32"/>
          <w:highlight w:val="none"/>
        </w:rPr>
        <w:t>项目承担单位</w:t>
      </w:r>
      <w:r>
        <w:rPr>
          <w:rFonts w:hint="eastAsia" w:ascii="Nimbus Roman No9 L" w:hAnsi="Nimbus Roman No9 L" w:eastAsia="仿宋_GB2312" w:cs="仿宋_GB2312"/>
          <w:sz w:val="32"/>
          <w:szCs w:val="32"/>
          <w:highlight w:val="none"/>
          <w:lang w:eastAsia="zh-CN"/>
        </w:rPr>
        <w:t>应在</w:t>
      </w:r>
      <w:r>
        <w:rPr>
          <w:rFonts w:hint="eastAsia" w:ascii="Nimbus Roman No9 L" w:hAnsi="Nimbus Roman No9 L" w:eastAsia="仿宋_GB2312" w:cs="仿宋_GB2312"/>
          <w:bCs/>
          <w:sz w:val="32"/>
          <w:szCs w:val="32"/>
          <w:highlight w:val="none"/>
          <w:lang w:val="en"/>
        </w:rPr>
        <w:t>项目执行期内</w:t>
      </w:r>
      <w:r>
        <w:rPr>
          <w:rFonts w:hint="eastAsia" w:ascii="Nimbus Roman No9 L" w:hAnsi="Nimbus Roman No9 L" w:eastAsia="仿宋_GB2312" w:cs="仿宋_GB2312"/>
          <w:sz w:val="32"/>
          <w:szCs w:val="32"/>
          <w:highlight w:val="none"/>
          <w:lang w:eastAsia="zh-CN"/>
        </w:rPr>
        <w:t>，</w:t>
      </w:r>
      <w:r>
        <w:rPr>
          <w:rFonts w:hint="eastAsia" w:ascii="Nimbus Roman No9 L" w:hAnsi="Nimbus Roman No9 L" w:eastAsia="仿宋_GB2312" w:cs="仿宋_GB2312"/>
          <w:sz w:val="32"/>
          <w:szCs w:val="32"/>
          <w:highlight w:val="none"/>
        </w:rPr>
        <w:t>按规定对项目实施的技术路线、研究方法、实验数据和研究结果等进行整理，形成科技报告，作为验收的必备条件。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sz w:val="32"/>
          <w:szCs w:val="32"/>
          <w:highlight w:val="none"/>
        </w:rPr>
        <w:t xml:space="preserve"> 项目验收后可开展持续追溯和跟踪，重点关注科技成果转移转化、应用推广以及产生的经济社会效益。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sz w:val="32"/>
          <w:szCs w:val="32"/>
          <w:highlight w:val="none"/>
        </w:rPr>
        <w:t xml:space="preserve"> 项目所形成的科技成果的归属、使用和转移转化，按照国家相关法律、法规执行。</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outlineLvl w:val="0"/>
        <w:rPr>
          <w:rFonts w:hint="eastAsia" w:ascii="Nimbus Roman No9 L" w:hAnsi="Nimbus Roman No9 L" w:eastAsia="黑体" w:cs="黑体"/>
          <w:bCs/>
          <w:sz w:val="32"/>
          <w:szCs w:val="32"/>
          <w:highlight w:val="none"/>
        </w:rPr>
      </w:pPr>
      <w:r>
        <w:rPr>
          <w:rFonts w:hint="eastAsia" w:ascii="Nimbus Roman No9 L" w:hAnsi="Nimbus Roman No9 L" w:eastAsia="黑体" w:cs="黑体"/>
          <w:bCs/>
          <w:sz w:val="32"/>
          <w:szCs w:val="32"/>
          <w:highlight w:val="none"/>
        </w:rPr>
        <w:t>第八章</w:t>
      </w:r>
      <w:r>
        <w:rPr>
          <w:rFonts w:hint="eastAsia" w:ascii="Nimbus Roman No9 L" w:hAnsi="Nimbus Roman No9 L" w:eastAsia="黑体" w:cs="黑体"/>
          <w:bCs/>
          <w:sz w:val="32"/>
          <w:szCs w:val="32"/>
          <w:highlight w:val="none"/>
          <w:lang w:val="en-US" w:eastAsia="zh-CN"/>
        </w:rPr>
        <w:t xml:space="preserve"> </w:t>
      </w:r>
      <w:r>
        <w:rPr>
          <w:rFonts w:hint="eastAsia" w:ascii="Nimbus Roman No9 L" w:hAnsi="Nimbus Roman No9 L" w:eastAsia="黑体" w:cs="黑体"/>
          <w:bCs/>
          <w:sz w:val="32"/>
          <w:szCs w:val="32"/>
          <w:highlight w:val="none"/>
        </w:rPr>
        <w:t>监督与评估</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outlineLvl w:val="0"/>
        <w:rPr>
          <w:rFonts w:hint="eastAsia" w:ascii="Nimbus Roman No9 L" w:hAnsi="Nimbus Roman No9 L" w:eastAsia="黑体" w:cs="黑体"/>
          <w:bCs/>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sz w:val="32"/>
          <w:szCs w:val="32"/>
          <w:highlight w:val="none"/>
        </w:rPr>
        <w:t xml:space="preserve"> </w:t>
      </w:r>
      <w:r>
        <w:rPr>
          <w:rFonts w:hint="eastAsia" w:ascii="Nimbus Roman No9 L" w:hAnsi="Nimbus Roman No9 L" w:eastAsia="仿宋_GB2312" w:cs="仿宋_GB2312"/>
          <w:sz w:val="32"/>
          <w:szCs w:val="32"/>
          <w:highlight w:val="none"/>
          <w:lang w:eastAsia="zh-CN"/>
        </w:rPr>
        <w:t>市科技局</w:t>
      </w:r>
      <w:r>
        <w:rPr>
          <w:rFonts w:hint="eastAsia" w:ascii="Nimbus Roman No9 L" w:hAnsi="Nimbus Roman No9 L" w:eastAsia="仿宋_GB2312" w:cs="仿宋_GB2312"/>
          <w:sz w:val="32"/>
          <w:szCs w:val="32"/>
          <w:highlight w:val="none"/>
        </w:rPr>
        <w:t>对项目申报与受理、评审与立项、实施管理、验收等环节的合规性，开展全过程监督。加强科技伦理监管，全面覆盖项目组织实施各个环节。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sz w:val="32"/>
          <w:szCs w:val="32"/>
          <w:highlight w:val="none"/>
        </w:rPr>
        <w:t xml:space="preserve"> </w:t>
      </w:r>
      <w:r>
        <w:rPr>
          <w:rFonts w:hint="eastAsia" w:ascii="Nimbus Roman No9 L" w:hAnsi="Nimbus Roman No9 L" w:eastAsia="仿宋_GB2312" w:cs="仿宋_GB2312"/>
          <w:sz w:val="32"/>
          <w:szCs w:val="32"/>
          <w:highlight w:val="none"/>
          <w:lang w:eastAsia="zh-CN"/>
        </w:rPr>
        <w:t>市科技局</w:t>
      </w:r>
      <w:r>
        <w:rPr>
          <w:rFonts w:hint="eastAsia" w:ascii="Nimbus Roman No9 L" w:hAnsi="Nimbus Roman No9 L" w:eastAsia="仿宋_GB2312" w:cs="仿宋_GB2312"/>
          <w:sz w:val="32"/>
          <w:szCs w:val="32"/>
          <w:highlight w:val="none"/>
        </w:rPr>
        <w:t>优化完善项目管理信息系统，实现项目管理全过程信息化、智能化</w:t>
      </w:r>
      <w:r>
        <w:rPr>
          <w:rFonts w:hint="eastAsia" w:ascii="Nimbus Roman No9 L" w:hAnsi="Nimbus Roman No9 L" w:eastAsia="仿宋_GB2312" w:cs="仿宋_GB2312"/>
          <w:sz w:val="32"/>
          <w:szCs w:val="32"/>
          <w:highlight w:val="none"/>
          <w:lang w:eastAsia="zh-CN"/>
        </w:rPr>
        <w:t>、</w:t>
      </w:r>
      <w:r>
        <w:rPr>
          <w:rFonts w:hint="eastAsia" w:ascii="Nimbus Roman No9 L" w:hAnsi="Nimbus Roman No9 L" w:eastAsia="仿宋_GB2312" w:cs="仿宋_GB2312"/>
          <w:sz w:val="32"/>
          <w:szCs w:val="32"/>
          <w:highlight w:val="none"/>
        </w:rPr>
        <w:t>可查询、可追溯。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sz w:val="32"/>
          <w:szCs w:val="32"/>
          <w:highlight w:val="none"/>
        </w:rPr>
        <w:t xml:space="preserve"> 按类开展项目绩效评估，重点评估目标完成、条件保障、组织管理、知识产权、人才培养、效果影响，特别是成果转化及产业化情况等。对绩效显著且符合我市经济社会发展需求的，持续实施；对没有明显绩效的，及时调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bCs/>
          <w:sz w:val="32"/>
          <w:szCs w:val="32"/>
          <w:highlight w:val="none"/>
        </w:rPr>
        <w:t xml:space="preserve"> </w:t>
      </w:r>
      <w:r>
        <w:rPr>
          <w:rFonts w:hint="eastAsia" w:ascii="Nimbus Roman No9 L" w:hAnsi="Nimbus Roman No9 L" w:eastAsia="仿宋_GB2312" w:cs="仿宋_GB2312"/>
          <w:sz w:val="32"/>
          <w:szCs w:val="32"/>
          <w:highlight w:val="none"/>
        </w:rPr>
        <w:t>加强项目科研诚信管理，实施项目科研诚信承诺和审核制，完善项目科研诚信分级分类评价体系，强化守信激励、严格失信处理，着力营造风清气正的科研环境。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sz w:val="32"/>
          <w:szCs w:val="32"/>
          <w:highlight w:val="none"/>
        </w:rPr>
        <w:t xml:space="preserve"> 对受市场风险或其他不可抗</w:t>
      </w:r>
      <w:r>
        <w:rPr>
          <w:rFonts w:hint="eastAsia" w:ascii="Nimbus Roman No9 L" w:hAnsi="Nimbus Roman No9 L" w:eastAsia="仿宋_GB2312" w:cs="仿宋_GB2312"/>
          <w:sz w:val="32"/>
          <w:szCs w:val="32"/>
          <w:highlight w:val="none"/>
          <w:lang w:eastAsia="zh-CN"/>
        </w:rPr>
        <w:t>力</w:t>
      </w:r>
      <w:r>
        <w:rPr>
          <w:rFonts w:hint="eastAsia" w:ascii="Nimbus Roman No9 L" w:hAnsi="Nimbus Roman No9 L" w:eastAsia="仿宋_GB2312" w:cs="仿宋_GB2312"/>
          <w:sz w:val="32"/>
          <w:szCs w:val="32"/>
          <w:highlight w:val="none"/>
        </w:rPr>
        <w:t>因素影响导致任务合同书考核指标未能完成的，如科研团队确已做到履职尽责，本着鼓励创新、宽容失败的原则，经组织专家评议，可对其予以免责。</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outlineLvl w:val="0"/>
        <w:rPr>
          <w:rFonts w:hint="eastAsia" w:ascii="Nimbus Roman No9 L" w:hAnsi="Nimbus Roman No9 L" w:eastAsia="黑体" w:cs="黑体"/>
          <w:bCs/>
          <w:sz w:val="32"/>
          <w:szCs w:val="32"/>
          <w:highlight w:val="none"/>
        </w:rPr>
      </w:pPr>
      <w:r>
        <w:rPr>
          <w:rFonts w:hint="eastAsia" w:ascii="Nimbus Roman No9 L" w:hAnsi="Nimbus Roman No9 L" w:eastAsia="黑体" w:cs="黑体"/>
          <w:bCs/>
          <w:sz w:val="32"/>
          <w:szCs w:val="32"/>
          <w:highlight w:val="none"/>
        </w:rPr>
        <w:t>第九章</w:t>
      </w:r>
      <w:r>
        <w:rPr>
          <w:rFonts w:hint="eastAsia" w:ascii="Nimbus Roman No9 L" w:hAnsi="Nimbus Roman No9 L" w:eastAsia="黑体" w:cs="黑体"/>
          <w:bCs/>
          <w:sz w:val="32"/>
          <w:szCs w:val="32"/>
          <w:highlight w:val="none"/>
          <w:lang w:val="en-US" w:eastAsia="zh-CN"/>
        </w:rPr>
        <w:t xml:space="preserve"> </w:t>
      </w:r>
      <w:r>
        <w:rPr>
          <w:rFonts w:hint="eastAsia" w:ascii="Nimbus Roman No9 L" w:hAnsi="Nimbus Roman No9 L" w:eastAsia="黑体" w:cs="黑体"/>
          <w:bCs/>
          <w:sz w:val="32"/>
          <w:szCs w:val="32"/>
          <w:highlight w:val="none"/>
        </w:rPr>
        <w:t>附 则</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outlineLvl w:val="0"/>
        <w:rPr>
          <w:rFonts w:hint="eastAsia" w:ascii="Nimbus Roman No9 L" w:hAnsi="Nimbus Roman No9 L" w:eastAsia="黑体" w:cs="黑体"/>
          <w:bCs/>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bCs/>
          <w:sz w:val="32"/>
          <w:szCs w:val="32"/>
          <w:highlight w:val="none"/>
        </w:rPr>
        <w:t xml:space="preserve"> </w:t>
      </w:r>
      <w:r>
        <w:rPr>
          <w:rFonts w:hint="eastAsia" w:ascii="Nimbus Roman No9 L" w:hAnsi="Nimbus Roman No9 L" w:eastAsia="仿宋_GB2312" w:cs="仿宋_GB2312"/>
          <w:sz w:val="32"/>
          <w:szCs w:val="32"/>
          <w:highlight w:val="none"/>
        </w:rPr>
        <w:t>项目涉及保密的，按照国家</w:t>
      </w:r>
      <w:r>
        <w:rPr>
          <w:rFonts w:hint="eastAsia" w:ascii="Nimbus Roman No9 L" w:hAnsi="Nimbus Roman No9 L" w:eastAsia="仿宋_GB2312" w:cs="仿宋_GB2312"/>
          <w:sz w:val="32"/>
          <w:szCs w:val="32"/>
          <w:highlight w:val="none"/>
          <w:lang w:eastAsia="zh-CN"/>
        </w:rPr>
        <w:t>科学技术保密相关规定执行</w:t>
      </w:r>
      <w:r>
        <w:rPr>
          <w:rFonts w:hint="eastAsia" w:ascii="Nimbus Roman No9 L" w:hAnsi="Nimbus Roman No9 L" w:eastAsia="仿宋_GB2312" w:cs="仿宋_GB2312"/>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bCs/>
          <w:sz w:val="32"/>
          <w:szCs w:val="32"/>
          <w:highlight w:val="none"/>
        </w:rPr>
        <w:t xml:space="preserve"> </w:t>
      </w:r>
      <w:r>
        <w:rPr>
          <w:rFonts w:hint="eastAsia" w:ascii="Nimbus Roman No9 L" w:hAnsi="Nimbus Roman No9 L" w:eastAsia="仿宋_GB2312" w:cs="仿宋_GB2312"/>
          <w:sz w:val="32"/>
          <w:szCs w:val="32"/>
          <w:highlight w:val="none"/>
        </w:rPr>
        <w:t>项目管理过程中涉及信息公开的，按照国家和我市政府信息公开有关规定执行。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eastAsia="仿宋_GB2312"/>
          <w:snapToGrid w:val="0"/>
          <w:kern w:val="0"/>
          <w:sz w:val="32"/>
          <w:szCs w:val="32"/>
        </w:rPr>
      </w:pPr>
      <w:r>
        <w:rPr>
          <w:rFonts w:hint="eastAsia" w:ascii="Nimbus Roman No9 L" w:hAnsi="Nimbus Roman No9 L" w:eastAsia="仿宋_GB2312" w:cs="仿宋_GB2312"/>
          <w:sz w:val="32"/>
          <w:szCs w:val="32"/>
          <w:highlight w:val="none"/>
        </w:rPr>
        <w:t xml:space="preserve"> 项目经费按照我市财政科研项目</w:t>
      </w:r>
      <w:r>
        <w:rPr>
          <w:rFonts w:hint="eastAsia" w:ascii="Nimbus Roman No9 L" w:hAnsi="Nimbus Roman No9 L" w:eastAsia="仿宋_GB2312" w:cs="仿宋_GB2312"/>
          <w:sz w:val="32"/>
          <w:szCs w:val="32"/>
          <w:highlight w:val="none"/>
          <w:lang w:eastAsia="zh-CN"/>
        </w:rPr>
        <w:t>资金</w:t>
      </w:r>
      <w:r>
        <w:rPr>
          <w:rFonts w:hint="eastAsia" w:ascii="Nimbus Roman No9 L" w:hAnsi="Nimbus Roman No9 L" w:eastAsia="仿宋_GB2312" w:cs="仿宋_GB2312"/>
          <w:sz w:val="32"/>
          <w:szCs w:val="32"/>
          <w:highlight w:val="none"/>
        </w:rPr>
        <w:t>管理有关规定执行。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6" w:firstLineChars="200"/>
        <w:textAlignment w:val="auto"/>
        <w:rPr>
          <w:rFonts w:hint="eastAsia" w:eastAsia="仿宋_GB2312"/>
          <w:snapToGrid w:val="0"/>
          <w:kern w:val="0"/>
          <w:sz w:val="32"/>
          <w:szCs w:val="32"/>
        </w:rPr>
      </w:pPr>
      <w:r>
        <w:rPr>
          <w:rFonts w:hint="default" w:ascii="Nimbus Roman No9 L" w:hAnsi="Nimbus Roman No9 L" w:eastAsia="仿宋_GB2312" w:cs="仿宋_GB2312"/>
          <w:sz w:val="32"/>
          <w:szCs w:val="32"/>
          <w:highlight w:val="none"/>
          <w:lang w:val="en"/>
        </w:rPr>
        <w:t xml:space="preserve"> </w:t>
      </w:r>
      <w:r>
        <w:rPr>
          <w:rFonts w:hint="eastAsia" w:ascii="Nimbus Roman No9 L" w:hAnsi="Nimbus Roman No9 L" w:eastAsia="仿宋_GB2312" w:cs="仿宋_GB2312"/>
          <w:sz w:val="32"/>
          <w:szCs w:val="32"/>
          <w:highlight w:val="none"/>
        </w:rPr>
        <w:t>本办法由市科技局负责解释，</w:t>
      </w:r>
      <w:r>
        <w:rPr>
          <w:rFonts w:hint="eastAsia" w:eastAsia="仿宋_GB2312"/>
          <w:snapToGrid w:val="0"/>
          <w:kern w:val="0"/>
          <w:sz w:val="32"/>
          <w:szCs w:val="32"/>
        </w:rPr>
        <w:t>自发布之日起施行</w:t>
      </w:r>
      <w:r>
        <w:rPr>
          <w:rFonts w:hint="eastAsia" w:ascii="Nimbus Roman No9 L" w:hAnsi="Nimbus Roman No9 L" w:eastAsia="仿宋_GB2312" w:cs="仿宋_GB2312"/>
          <w:sz w:val="32"/>
          <w:szCs w:val="32"/>
          <w:highlight w:val="none"/>
        </w:rPr>
        <w:t>，有效期</w:t>
      </w:r>
      <w:r>
        <w:rPr>
          <w:rFonts w:hint="eastAsia" w:ascii="Nimbus Roman No9 L" w:hAnsi="Nimbus Roman No9 L" w:eastAsia="仿宋_GB2312" w:cs="仿宋_GB2312"/>
          <w:sz w:val="32"/>
          <w:szCs w:val="32"/>
          <w:highlight w:val="none"/>
          <w:lang w:val="en-US" w:eastAsia="zh-CN"/>
        </w:rPr>
        <w:t>5</w:t>
      </w:r>
      <w:r>
        <w:rPr>
          <w:rFonts w:hint="eastAsia" w:ascii="Nimbus Roman No9 L" w:hAnsi="Nimbus Roman No9 L" w:eastAsia="仿宋_GB2312" w:cs="仿宋_GB2312"/>
          <w:sz w:val="32"/>
          <w:szCs w:val="32"/>
          <w:highlight w:val="none"/>
        </w:rPr>
        <w:t>年。</w:t>
      </w:r>
    </w:p>
    <w:p>
      <w:pPr>
        <w:adjustRightInd w:val="0"/>
        <w:snapToGrid w:val="0"/>
        <w:spacing w:line="560" w:lineRule="exact"/>
        <w:rPr>
          <w:rFonts w:hint="default" w:eastAsia="仿宋_GB2312"/>
          <w:snapToGrid w:val="0"/>
          <w:kern w:val="0"/>
          <w:sz w:val="32"/>
          <w:szCs w:val="32"/>
          <w:lang w:val="en"/>
        </w:rPr>
      </w:pPr>
      <w:r>
        <w:rPr>
          <w:rFonts w:hint="eastAsia" w:ascii="仿宋_GB2312" w:eastAsia="仿宋_GB2312"/>
          <w:sz w:val="32"/>
          <w:szCs w:val="32"/>
        </w:rPr>
        <w:br w:type="page"/>
      </w:r>
    </w:p>
    <w:p>
      <w:pPr>
        <w:adjustRightInd w:val="0"/>
        <w:snapToGrid w:val="0"/>
        <w:spacing w:line="560" w:lineRule="exact"/>
        <w:rPr>
          <w:rFonts w:hint="default" w:eastAsia="仿宋_GB2312"/>
          <w:snapToGrid w:val="0"/>
          <w:kern w:val="0"/>
          <w:sz w:val="32"/>
          <w:szCs w:val="32"/>
          <w:lang w:val="en"/>
        </w:rPr>
      </w:pPr>
    </w:p>
    <w:p>
      <w:pPr>
        <w:adjustRightInd w:val="0"/>
        <w:snapToGrid w:val="0"/>
        <w:spacing w:line="560" w:lineRule="exact"/>
        <w:rPr>
          <w:rFonts w:hint="default" w:eastAsia="仿宋_GB2312"/>
          <w:snapToGrid w:val="0"/>
          <w:kern w:val="0"/>
          <w:sz w:val="32"/>
          <w:szCs w:val="32"/>
          <w:lang w:val="en"/>
        </w:rPr>
      </w:pPr>
    </w:p>
    <w:p>
      <w:pPr>
        <w:adjustRightInd w:val="0"/>
        <w:snapToGrid w:val="0"/>
        <w:spacing w:line="560" w:lineRule="exact"/>
        <w:rPr>
          <w:rFonts w:hint="default" w:eastAsia="仿宋_GB2312"/>
          <w:snapToGrid w:val="0"/>
          <w:kern w:val="0"/>
          <w:sz w:val="32"/>
          <w:szCs w:val="32"/>
          <w:lang w:val="en"/>
        </w:rPr>
      </w:pPr>
    </w:p>
    <w:p>
      <w:pPr>
        <w:adjustRightInd w:val="0"/>
        <w:snapToGrid w:val="0"/>
        <w:spacing w:line="560" w:lineRule="exact"/>
        <w:rPr>
          <w:rFonts w:hint="default" w:eastAsia="仿宋_GB2312"/>
          <w:snapToGrid w:val="0"/>
          <w:kern w:val="0"/>
          <w:sz w:val="32"/>
          <w:szCs w:val="32"/>
          <w:lang w:val="en"/>
        </w:rPr>
      </w:pPr>
    </w:p>
    <w:p>
      <w:pPr>
        <w:adjustRightInd w:val="0"/>
        <w:snapToGrid w:val="0"/>
        <w:spacing w:line="560" w:lineRule="exact"/>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620" w:lineRule="exact"/>
        <w:ind w:firstLine="606" w:firstLineChars="200"/>
        <w:rPr>
          <w:rFonts w:hint="eastAsia" w:eastAsia="仿宋_GB2312"/>
          <w:snapToGrid w:val="0"/>
          <w:kern w:val="0"/>
          <w:sz w:val="32"/>
          <w:szCs w:val="32"/>
        </w:rPr>
      </w:pPr>
    </w:p>
    <w:p>
      <w:pPr>
        <w:adjustRightInd w:val="0"/>
        <w:snapToGrid w:val="0"/>
        <w:spacing w:line="62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44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440" w:lineRule="exact"/>
        <w:ind w:firstLine="606" w:firstLineChars="200"/>
        <w:rPr>
          <w:rFonts w:hint="eastAsia" w:ascii="仿宋_GB2312" w:eastAsia="仿宋_GB2312"/>
          <w:sz w:val="32"/>
          <w:szCs w:val="32"/>
        </w:rPr>
      </w:pPr>
    </w:p>
    <w:p>
      <w:pPr>
        <w:ind w:firstLine="1052" w:firstLineChars="400"/>
        <w:rPr>
          <w:rFonts w:hint="eastAsia" w:ascii="仿宋_GB2312" w:eastAsia="仿宋_GB2312"/>
          <w:sz w:val="28"/>
          <w:szCs w:val="28"/>
        </w:rPr>
      </w:pPr>
    </w:p>
    <w:p>
      <w:pPr>
        <w:ind w:firstLine="1052" w:firstLineChars="400"/>
        <w:rPr>
          <w:rFonts w:hint="eastAsia" w:ascii="仿宋_GB2312" w:eastAsia="仿宋_GB2312"/>
          <w:sz w:val="28"/>
          <w:szCs w:val="28"/>
        </w:rPr>
      </w:pPr>
    </w:p>
    <w:p>
      <w:pPr>
        <w:ind w:firstLine="1052" w:firstLineChars="400"/>
        <w:rPr>
          <w:rFonts w:hint="eastAsia" w:ascii="仿宋_GB2312" w:eastAsia="仿宋_GB2312"/>
          <w:sz w:val="28"/>
          <w:szCs w:val="28"/>
        </w:rPr>
      </w:pPr>
    </w:p>
    <w:p>
      <w:pPr>
        <w:ind w:right="-1" w:rightChars="-1" w:firstLine="263" w:firstLineChars="100"/>
        <w:rPr>
          <w:rFonts w:hint="eastAsia" w:ascii="仿宋_GB2312" w:eastAsia="仿宋_GB2312"/>
          <w:sz w:val="28"/>
          <w:szCs w:val="28"/>
        </w:rPr>
      </w:pPr>
    </w:p>
    <w:p>
      <w:pPr>
        <w:adjustRightInd w:val="0"/>
        <w:snapToGrid w:val="0"/>
        <w:spacing w:line="44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60" w:lineRule="exact"/>
        <w:ind w:firstLine="526" w:firstLineChars="200"/>
        <w:rPr>
          <w:rFonts w:hint="eastAsia" w:ascii="仿宋_GB2312" w:eastAsia="仿宋_GB2312"/>
          <w:sz w:val="32"/>
          <w:szCs w:val="32"/>
        </w:rPr>
      </w:pPr>
      <w:r>
        <w:rPr>
          <w:rFonts w:hint="eastAsia" w:ascii="仿宋_GB2312" w:eastAsia="仿宋_GB2312"/>
          <w:sz w:val="28"/>
          <w:szCs w:val="28"/>
        </w:rPr>
        <mc:AlternateContent>
          <mc:Choice Requires="wps">
            <w:drawing>
              <wp:anchor distT="0" distB="0" distL="114300" distR="114300" simplePos="0" relativeHeight="251664384" behindDoc="0" locked="0" layoutInCell="0" allowOverlap="1">
                <wp:simplePos x="0" y="0"/>
                <wp:positionH relativeFrom="column">
                  <wp:posOffset>-1270</wp:posOffset>
                </wp:positionH>
                <wp:positionV relativeFrom="paragraph">
                  <wp:posOffset>349885</wp:posOffset>
                </wp:positionV>
                <wp:extent cx="5615940" cy="0"/>
                <wp:effectExtent l="0" t="9525" r="3810" b="9525"/>
                <wp:wrapNone/>
                <wp:docPr id="6" name="直线 38"/>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38" o:spid="_x0000_s1026" o:spt="20" style="position:absolute;left:0pt;margin-left:-0.1pt;margin-top:27.55pt;height:0pt;width:442.2pt;z-index:251664384;mso-width-relative:page;mso-height-relative:page;" filled="f" stroked="t" coordsize="21600,21600" o:allowincell="f" o:gfxdata="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wGnb0wAAAAcB&#10;AAAPAAAAAAAAAAEAIAAAADgAAABkcnMvZG93bnJldi54bWxQSwECFAAUAAAACACHTuJA5Yyr9NEB&#10;AACSAwAADgAAAAAAAAABACAAAAA4AQAAZHJzL2Uyb0RvYy54bWxQSwUGAAAAAAYABgBZAQAAewUA&#10;AAAA&#10;">
                <v:fill on="f" focussize="0,0"/>
                <v:stroke weight="1.5pt" color="#000000" joinstyle="round"/>
                <v:imagedata o:title=""/>
                <o:lock v:ext="edit" aspectratio="f"/>
              </v:line>
            </w:pict>
          </mc:Fallback>
        </mc:AlternateContent>
      </w:r>
    </w:p>
    <w:p>
      <w:pPr>
        <w:ind w:right="-1" w:rightChars="-1" w:firstLine="132" w:firstLineChars="50"/>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63360" behindDoc="0" locked="0" layoutInCell="0" allowOverlap="1">
                <wp:simplePos x="0" y="0"/>
                <wp:positionH relativeFrom="column">
                  <wp:align>center</wp:align>
                </wp:positionH>
                <wp:positionV relativeFrom="paragraph">
                  <wp:posOffset>369570</wp:posOffset>
                </wp:positionV>
                <wp:extent cx="5615940" cy="0"/>
                <wp:effectExtent l="0" t="9525" r="3810" b="9525"/>
                <wp:wrapNone/>
                <wp:docPr id="5" name="直线 39"/>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39" o:spid="_x0000_s1026" o:spt="20" style="position:absolute;left:0pt;margin-top:29.1pt;height:0pt;width:442.2pt;mso-position-horizontal:center;z-index:251663360;mso-width-relative:page;mso-height-relative:page;" filled="f" stroked="t" coordsize="21600,21600" o:allowincell="f" o:gfxdata="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DrLhujTAAAABgEA&#10;AA8AAAAAAAAAAQAgAAAAOAAAAGRycy9kb3ducmV2LnhtbFBLAQIUABQAAAAIAIdO4kCgqdEf0AEA&#10;AJIDAAAOAAAAAAAAAAEAIAAAADgBAABkcnMvZTJvRG9jLnhtbFBLBQYAAAAABgAGAFkBAAB6BQAA&#10;AAA=&#10;">
                <v:fill on="f" focussize="0,0"/>
                <v:stroke weight="1.5pt" color="#000000" joinstyle="round"/>
                <v:imagedata o:title=""/>
                <o:lock v:ext="edit" aspectratio="f"/>
              </v:line>
            </w:pict>
          </mc:Fallback>
        </mc:AlternateContent>
      </w:r>
      <w:r>
        <w:rPr>
          <w:rFonts w:hint="eastAsia" w:ascii="仿宋_GB2312" w:eastAsia="仿宋_GB2312"/>
          <w:sz w:val="28"/>
          <w:szCs w:val="28"/>
        </w:rPr>
        <w:t xml:space="preserve">天津市科学技术局办公室                   </w:t>
      </w:r>
      <w:r>
        <w:rPr>
          <w:rFonts w:eastAsia="仿宋_GB2312"/>
          <w:sz w:val="28"/>
          <w:szCs w:val="28"/>
        </w:rPr>
        <w:t xml:space="preserve"> </w:t>
      </w:r>
      <w:r>
        <w:rPr>
          <w:rFonts w:hint="default" w:eastAsia="仿宋_GB2312"/>
          <w:sz w:val="28"/>
          <w:szCs w:val="28"/>
          <w:lang w:val="en"/>
        </w:rPr>
        <w:t xml:space="preserve">   </w:t>
      </w:r>
      <w:r>
        <w:rPr>
          <w:rFonts w:hint="eastAsia" w:ascii="Nimbus Roman No9 L" w:hAnsi="Nimbus Roman No9 L" w:eastAsia="Nimbus Roman No9 L" w:cs="Nimbus Roman No9 L"/>
          <w:sz w:val="28"/>
          <w:szCs w:val="28"/>
        </w:rPr>
        <w:t>20</w:t>
      </w:r>
      <w:r>
        <w:rPr>
          <w:rFonts w:hint="eastAsia" w:ascii="Nimbus Roman No9 L" w:hAnsi="Nimbus Roman No9 L" w:eastAsia="SimSun" w:cs="Nimbus Roman No9 L"/>
          <w:sz w:val="28"/>
          <w:szCs w:val="28"/>
          <w:lang w:val="en-US" w:eastAsia="zh-CN"/>
        </w:rPr>
        <w:t>22</w:t>
      </w:r>
      <w:r>
        <w:rPr>
          <w:rFonts w:eastAsia="仿宋_GB2312"/>
          <w:sz w:val="28"/>
          <w:szCs w:val="28"/>
        </w:rPr>
        <w:t>年</w:t>
      </w:r>
      <w:r>
        <w:rPr>
          <w:rFonts w:hint="eastAsia" w:ascii="Nimbus Roman No9 L" w:hAnsi="Nimbus Roman No9 L" w:eastAsia="SimSun" w:cs="Nimbus Roman No9 L"/>
          <w:sz w:val="28"/>
          <w:szCs w:val="28"/>
          <w:lang w:val="en-US" w:eastAsia="zh-CN"/>
        </w:rPr>
        <w:t>9</w:t>
      </w:r>
      <w:r>
        <w:rPr>
          <w:rFonts w:eastAsia="仿宋_GB2312"/>
          <w:sz w:val="28"/>
          <w:szCs w:val="28"/>
        </w:rPr>
        <w:t>月</w:t>
      </w:r>
      <w:r>
        <w:rPr>
          <w:rFonts w:hint="eastAsia" w:ascii="Nimbus Roman No9 L" w:hAnsi="Nimbus Roman No9 L" w:eastAsia="SimSun" w:cs="Nimbus Roman No9 L"/>
          <w:sz w:val="28"/>
          <w:szCs w:val="28"/>
          <w:lang w:val="en-US" w:eastAsia="zh-CN"/>
        </w:rPr>
        <w:t>30</w:t>
      </w:r>
      <w:r>
        <w:rPr>
          <w:rFonts w:eastAsia="仿宋_GB2312"/>
          <w:sz w:val="28"/>
          <w:szCs w:val="28"/>
        </w:rPr>
        <w:t>日</w:t>
      </w:r>
      <w:r>
        <w:rPr>
          <w:rFonts w:hint="eastAsia" w:ascii="仿宋_GB2312" w:eastAsia="仿宋_GB2312"/>
          <w:sz w:val="28"/>
          <w:szCs w:val="28"/>
        </w:rPr>
        <w:t>印发</w:t>
      </w:r>
    </w:p>
    <w:sectPr>
      <w:footerReference r:id="rId3" w:type="default"/>
      <w:footerReference r:id="rId4" w:type="even"/>
      <w:pgSz w:w="11906" w:h="16838"/>
      <w:pgMar w:top="2098" w:right="1474" w:bottom="1985" w:left="1588" w:header="851" w:footer="1077" w:gutter="0"/>
      <w:pgNumType w:fmt="numberInDash" w:start="1"/>
      <w:cols w:space="720"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SimSun">
    <w:panose1 w:val="02010600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F68DD"/>
    <w:multiLevelType w:val="singleLevel"/>
    <w:tmpl w:val="B99F68DD"/>
    <w:lvl w:ilvl="0" w:tentative="0">
      <w:start w:val="1"/>
      <w:numFmt w:val="chineseCounting"/>
      <w:suff w:val="nothing"/>
      <w:lvlText w:val="第%1条"/>
      <w:lvlJc w:val="left"/>
      <w:pPr>
        <w:ind w:left="0" w:firstLine="40"/>
      </w:pPr>
      <w:rPr>
        <w:rFonts w:hint="eastAsia" w:eastAsia="黑体"/>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trackRevisions w:val="true"/>
  <w:documentProtection w:enforcement="0"/>
  <w:defaultTabStop w:val="420"/>
  <w:hyphenationZone w:val="360"/>
  <w:evenAndOddHeaders w:val="true"/>
  <w:drawingGridHorizontalSpacing w:val="96"/>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1A"/>
    <w:rsid w:val="00002F68"/>
    <w:rsid w:val="000144F3"/>
    <w:rsid w:val="00020C56"/>
    <w:rsid w:val="00033803"/>
    <w:rsid w:val="00046F69"/>
    <w:rsid w:val="00047EED"/>
    <w:rsid w:val="00056CC5"/>
    <w:rsid w:val="00072218"/>
    <w:rsid w:val="00083430"/>
    <w:rsid w:val="00083F8C"/>
    <w:rsid w:val="000904EE"/>
    <w:rsid w:val="000A0ABC"/>
    <w:rsid w:val="000A4124"/>
    <w:rsid w:val="000B54C1"/>
    <w:rsid w:val="000B5FF0"/>
    <w:rsid w:val="000B6363"/>
    <w:rsid w:val="000B6B4C"/>
    <w:rsid w:val="000C711D"/>
    <w:rsid w:val="000D3295"/>
    <w:rsid w:val="000D5F7A"/>
    <w:rsid w:val="00100C4E"/>
    <w:rsid w:val="001032D1"/>
    <w:rsid w:val="00107027"/>
    <w:rsid w:val="00163844"/>
    <w:rsid w:val="00166523"/>
    <w:rsid w:val="001A2DE2"/>
    <w:rsid w:val="001C0711"/>
    <w:rsid w:val="001D4F6B"/>
    <w:rsid w:val="001F2E84"/>
    <w:rsid w:val="001F4533"/>
    <w:rsid w:val="001F581A"/>
    <w:rsid w:val="001F7967"/>
    <w:rsid w:val="00212C15"/>
    <w:rsid w:val="002305B4"/>
    <w:rsid w:val="00236910"/>
    <w:rsid w:val="00240AAF"/>
    <w:rsid w:val="00260207"/>
    <w:rsid w:val="00266704"/>
    <w:rsid w:val="00284EA7"/>
    <w:rsid w:val="002A7BE3"/>
    <w:rsid w:val="002B63CF"/>
    <w:rsid w:val="002C284E"/>
    <w:rsid w:val="002C4980"/>
    <w:rsid w:val="002E404E"/>
    <w:rsid w:val="002E473F"/>
    <w:rsid w:val="002E7C55"/>
    <w:rsid w:val="002E7F7D"/>
    <w:rsid w:val="00302117"/>
    <w:rsid w:val="00307012"/>
    <w:rsid w:val="00344FFC"/>
    <w:rsid w:val="003564B8"/>
    <w:rsid w:val="0036324B"/>
    <w:rsid w:val="0039400E"/>
    <w:rsid w:val="003A0AC9"/>
    <w:rsid w:val="003A3DA5"/>
    <w:rsid w:val="003B29D8"/>
    <w:rsid w:val="003B38AB"/>
    <w:rsid w:val="003B3968"/>
    <w:rsid w:val="003E737B"/>
    <w:rsid w:val="003F3155"/>
    <w:rsid w:val="003F43D1"/>
    <w:rsid w:val="00406175"/>
    <w:rsid w:val="00411811"/>
    <w:rsid w:val="00421FC7"/>
    <w:rsid w:val="004226FF"/>
    <w:rsid w:val="004405C3"/>
    <w:rsid w:val="00442A6F"/>
    <w:rsid w:val="004440A5"/>
    <w:rsid w:val="0044535C"/>
    <w:rsid w:val="0045180F"/>
    <w:rsid w:val="00454417"/>
    <w:rsid w:val="004544E1"/>
    <w:rsid w:val="004655FB"/>
    <w:rsid w:val="004835AC"/>
    <w:rsid w:val="004A07BE"/>
    <w:rsid w:val="004A2739"/>
    <w:rsid w:val="004A4E51"/>
    <w:rsid w:val="004B0A1A"/>
    <w:rsid w:val="004B5B63"/>
    <w:rsid w:val="004B5CEB"/>
    <w:rsid w:val="004B6ABC"/>
    <w:rsid w:val="004C289E"/>
    <w:rsid w:val="004C3631"/>
    <w:rsid w:val="004D26C0"/>
    <w:rsid w:val="004F3D93"/>
    <w:rsid w:val="00506EAE"/>
    <w:rsid w:val="0055024E"/>
    <w:rsid w:val="0055385C"/>
    <w:rsid w:val="00553E11"/>
    <w:rsid w:val="00557316"/>
    <w:rsid w:val="00560A51"/>
    <w:rsid w:val="00561059"/>
    <w:rsid w:val="0057569C"/>
    <w:rsid w:val="00584B0F"/>
    <w:rsid w:val="005860B8"/>
    <w:rsid w:val="005C06AF"/>
    <w:rsid w:val="005E38E6"/>
    <w:rsid w:val="005E39D8"/>
    <w:rsid w:val="005E6A9B"/>
    <w:rsid w:val="005F0582"/>
    <w:rsid w:val="005F0A0C"/>
    <w:rsid w:val="006023B2"/>
    <w:rsid w:val="00606809"/>
    <w:rsid w:val="00607A73"/>
    <w:rsid w:val="006174A7"/>
    <w:rsid w:val="006222EE"/>
    <w:rsid w:val="006225AD"/>
    <w:rsid w:val="0064073B"/>
    <w:rsid w:val="006439FE"/>
    <w:rsid w:val="00646DF0"/>
    <w:rsid w:val="00653696"/>
    <w:rsid w:val="00663A31"/>
    <w:rsid w:val="00664E24"/>
    <w:rsid w:val="0067276C"/>
    <w:rsid w:val="00677C1D"/>
    <w:rsid w:val="00677D79"/>
    <w:rsid w:val="006838F7"/>
    <w:rsid w:val="006871A3"/>
    <w:rsid w:val="006A05AB"/>
    <w:rsid w:val="006A2A00"/>
    <w:rsid w:val="006F4EB6"/>
    <w:rsid w:val="00701D78"/>
    <w:rsid w:val="00711092"/>
    <w:rsid w:val="007177BD"/>
    <w:rsid w:val="00733C03"/>
    <w:rsid w:val="00734B13"/>
    <w:rsid w:val="00736EB7"/>
    <w:rsid w:val="00737A8C"/>
    <w:rsid w:val="00751B1B"/>
    <w:rsid w:val="00754CAD"/>
    <w:rsid w:val="00756732"/>
    <w:rsid w:val="007615B2"/>
    <w:rsid w:val="007640B0"/>
    <w:rsid w:val="00780B93"/>
    <w:rsid w:val="007816D4"/>
    <w:rsid w:val="007A7D56"/>
    <w:rsid w:val="007B2D83"/>
    <w:rsid w:val="007E0ACD"/>
    <w:rsid w:val="008003A1"/>
    <w:rsid w:val="00803B03"/>
    <w:rsid w:val="0080438F"/>
    <w:rsid w:val="0081210F"/>
    <w:rsid w:val="00830F62"/>
    <w:rsid w:val="0083146E"/>
    <w:rsid w:val="008512B8"/>
    <w:rsid w:val="00855652"/>
    <w:rsid w:val="00861F8F"/>
    <w:rsid w:val="0088379F"/>
    <w:rsid w:val="00887228"/>
    <w:rsid w:val="00894A0F"/>
    <w:rsid w:val="008B44FB"/>
    <w:rsid w:val="008C1364"/>
    <w:rsid w:val="008C6F81"/>
    <w:rsid w:val="008D303B"/>
    <w:rsid w:val="008E078B"/>
    <w:rsid w:val="008E4A3E"/>
    <w:rsid w:val="009210E4"/>
    <w:rsid w:val="00924233"/>
    <w:rsid w:val="00934CBC"/>
    <w:rsid w:val="0093608A"/>
    <w:rsid w:val="00943BFA"/>
    <w:rsid w:val="00957FEC"/>
    <w:rsid w:val="009634C8"/>
    <w:rsid w:val="0097316F"/>
    <w:rsid w:val="009745EA"/>
    <w:rsid w:val="00974A79"/>
    <w:rsid w:val="0098720A"/>
    <w:rsid w:val="00987666"/>
    <w:rsid w:val="009B117D"/>
    <w:rsid w:val="009B265E"/>
    <w:rsid w:val="009B273F"/>
    <w:rsid w:val="009B62F6"/>
    <w:rsid w:val="009C28DB"/>
    <w:rsid w:val="009F7282"/>
    <w:rsid w:val="00A271FD"/>
    <w:rsid w:val="00A324DD"/>
    <w:rsid w:val="00A441EB"/>
    <w:rsid w:val="00A456D6"/>
    <w:rsid w:val="00A461E7"/>
    <w:rsid w:val="00A462EC"/>
    <w:rsid w:val="00A51E02"/>
    <w:rsid w:val="00A55425"/>
    <w:rsid w:val="00A640FE"/>
    <w:rsid w:val="00A721F3"/>
    <w:rsid w:val="00AA4669"/>
    <w:rsid w:val="00AA5A4E"/>
    <w:rsid w:val="00AB067D"/>
    <w:rsid w:val="00AC06C1"/>
    <w:rsid w:val="00AC7B35"/>
    <w:rsid w:val="00AD4BE8"/>
    <w:rsid w:val="00AE4E9E"/>
    <w:rsid w:val="00B03350"/>
    <w:rsid w:val="00B04A5D"/>
    <w:rsid w:val="00B063DE"/>
    <w:rsid w:val="00B13A78"/>
    <w:rsid w:val="00B2774B"/>
    <w:rsid w:val="00B4057A"/>
    <w:rsid w:val="00B435AA"/>
    <w:rsid w:val="00B50BC0"/>
    <w:rsid w:val="00B8225A"/>
    <w:rsid w:val="00B87CD9"/>
    <w:rsid w:val="00B905BD"/>
    <w:rsid w:val="00B92693"/>
    <w:rsid w:val="00B957BC"/>
    <w:rsid w:val="00BA30C6"/>
    <w:rsid w:val="00BD18D1"/>
    <w:rsid w:val="00BE1878"/>
    <w:rsid w:val="00C07644"/>
    <w:rsid w:val="00C11C8F"/>
    <w:rsid w:val="00C359AB"/>
    <w:rsid w:val="00C67352"/>
    <w:rsid w:val="00C759DC"/>
    <w:rsid w:val="00C95D69"/>
    <w:rsid w:val="00CA1F4C"/>
    <w:rsid w:val="00CC2DED"/>
    <w:rsid w:val="00CC78A6"/>
    <w:rsid w:val="00CE12DB"/>
    <w:rsid w:val="00CE4F91"/>
    <w:rsid w:val="00CE7C32"/>
    <w:rsid w:val="00D16175"/>
    <w:rsid w:val="00D5337E"/>
    <w:rsid w:val="00D8047C"/>
    <w:rsid w:val="00D9366D"/>
    <w:rsid w:val="00DA21F7"/>
    <w:rsid w:val="00DB345F"/>
    <w:rsid w:val="00DB6AD6"/>
    <w:rsid w:val="00DC005F"/>
    <w:rsid w:val="00DD2ADF"/>
    <w:rsid w:val="00DD7342"/>
    <w:rsid w:val="00DE39EC"/>
    <w:rsid w:val="00DE75AF"/>
    <w:rsid w:val="00E34793"/>
    <w:rsid w:val="00E55524"/>
    <w:rsid w:val="00E5598D"/>
    <w:rsid w:val="00E6116D"/>
    <w:rsid w:val="00E63ACA"/>
    <w:rsid w:val="00E6431C"/>
    <w:rsid w:val="00E65710"/>
    <w:rsid w:val="00E7395C"/>
    <w:rsid w:val="00E822E8"/>
    <w:rsid w:val="00E94D61"/>
    <w:rsid w:val="00EA487E"/>
    <w:rsid w:val="00EB2C93"/>
    <w:rsid w:val="00EC5032"/>
    <w:rsid w:val="00F029BA"/>
    <w:rsid w:val="00F1314D"/>
    <w:rsid w:val="00F207A1"/>
    <w:rsid w:val="00F21126"/>
    <w:rsid w:val="00F75A31"/>
    <w:rsid w:val="00F86262"/>
    <w:rsid w:val="00F91B09"/>
    <w:rsid w:val="00F97090"/>
    <w:rsid w:val="00FB7289"/>
    <w:rsid w:val="00FD217E"/>
    <w:rsid w:val="00FD287E"/>
    <w:rsid w:val="00FD69BA"/>
    <w:rsid w:val="00FD6B3C"/>
    <w:rsid w:val="2E3ECC79"/>
    <w:rsid w:val="337FF96E"/>
    <w:rsid w:val="5BE171BB"/>
    <w:rsid w:val="5FF66B27"/>
    <w:rsid w:val="5FFFFECC"/>
    <w:rsid w:val="6AF7E523"/>
    <w:rsid w:val="BF2B0BE4"/>
    <w:rsid w:val="BFDEB4FC"/>
    <w:rsid w:val="E3F7F38E"/>
    <w:rsid w:val="EBBF1CC8"/>
    <w:rsid w:val="EBDE991C"/>
    <w:rsid w:val="EDFF420B"/>
    <w:rsid w:val="FB6D91FC"/>
    <w:rsid w:val="FFEDCD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仿宋_GB2312" w:eastAsia="仿宋_GB2312"/>
      <w:sz w:val="32"/>
    </w:rPr>
  </w:style>
  <w:style w:type="paragraph" w:styleId="3">
    <w:name w:val="Balloon Text"/>
    <w:basedOn w:val="1"/>
    <w:semiHidden/>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link w:val="4"/>
    <w:qFormat/>
    <w:uiPriority w:val="99"/>
    <w:rPr>
      <w:kern w:val="2"/>
      <w:sz w:val="18"/>
      <w:szCs w:val="18"/>
    </w:rPr>
  </w:style>
  <w:style w:type="character" w:customStyle="1" w:styleId="10">
    <w:name w:val="Hei Ti"/>
    <w:qFormat/>
    <w:uiPriority w:val="0"/>
    <w:rPr>
      <w:rFonts w:ascii="黑体" w:hAnsi="黑体" w:eastAsia="黑体" w:cs="黑体"/>
      <w:sz w:val="32"/>
    </w:rPr>
  </w:style>
  <w:style w:type="character" w:customStyle="1" w:styleId="11">
    <w:name w:val="Hei Ti Bold"/>
    <w:qFormat/>
    <w:uiPriority w:val="0"/>
    <w:rPr>
      <w:rFonts w:ascii="黑体" w:hAnsi="黑体" w:eastAsia="黑体" w:cs="黑体"/>
      <w:b/>
      <w:sz w:val="32"/>
    </w:rPr>
  </w:style>
  <w:style w:type="character" w:customStyle="1" w:styleId="12">
    <w:name w:val="Hei Ti Bold1"/>
    <w:qFormat/>
    <w:uiPriority w:val="0"/>
    <w:rPr>
      <w:rFonts w:ascii="黑体" w:hAnsi="黑体" w:eastAsia="黑体" w:cs="黑体"/>
      <w:b/>
      <w:sz w:val="36"/>
    </w:rPr>
  </w:style>
  <w:style w:type="character" w:customStyle="1" w:styleId="13">
    <w:name w:val="GB_2312"/>
    <w:qFormat/>
    <w:uiPriority w:val="0"/>
    <w:rPr>
      <w:rFonts w:ascii="仿宋_GB2312" w:hAnsi="仿宋_GB2312" w:eastAsia="仿宋_GB2312" w:cs="仿宋_GB2312"/>
      <w:sz w:val="32"/>
    </w:rPr>
  </w:style>
  <w:style w:type="character" w:customStyle="1" w:styleId="14">
    <w:name w:val="GB_23121"/>
    <w:qFormat/>
    <w:uiPriority w:val="0"/>
    <w:rPr>
      <w:rFonts w:ascii="仿宋_GB2312" w:hAnsi="仿宋_GB2312" w:eastAsia="仿宋_GB2312" w:cs="仿宋_GB2312"/>
      <w:sz w:val="36"/>
    </w:rPr>
  </w:style>
  <w:style w:type="character" w:customStyle="1" w:styleId="15">
    <w:name w:val="Red_Color"/>
    <w:qFormat/>
    <w:uiPriority w:val="0"/>
    <w:rPr>
      <w:rFonts w:ascii="方正小标宋简体" w:hAnsi="方正小标宋简体" w:eastAsia="方正小标宋简体" w:cs="方正小标宋简体"/>
      <w:color w:val="000000"/>
      <w:sz w:val="65"/>
    </w:rPr>
  </w:style>
  <w:style w:type="character" w:customStyle="1" w:styleId="16">
    <w:name w:val="KaiTi"/>
    <w:qFormat/>
    <w:uiPriority w:val="0"/>
    <w:rPr>
      <w:rFonts w:ascii="楷体_GB2312" w:hAnsi="楷体_GB2312" w:eastAsia="楷体_GB2312" w:cs="楷体_GB2312"/>
      <w:sz w:val="32"/>
    </w:rPr>
  </w:style>
  <w:style w:type="character" w:customStyle="1" w:styleId="17">
    <w:name w:val="Fz_Xbs"/>
    <w:qFormat/>
    <w:uiPriority w:val="0"/>
    <w:rPr>
      <w:rFonts w:ascii="方正小标宋简体" w:hAnsi="方正小标宋简体" w:eastAsia="方正小标宋简体" w:cs="方正小标宋简体"/>
      <w:sz w:val="44"/>
    </w:rPr>
  </w:style>
  <w:style w:type="paragraph" w:styleId="18">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Template>
  <Company>tjec</Company>
  <Pages>6</Pages>
  <Words>147</Words>
  <Characters>839</Characters>
  <Lines>6</Lines>
  <Paragraphs>1</Paragraphs>
  <TotalTime>19</TotalTime>
  <ScaleCrop>false</ScaleCrop>
  <LinksUpToDate>false</LinksUpToDate>
  <CharactersWithSpaces>985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2017-06-09T11:09:00Z</dcterms:created>
  <dc:creator>办公室</dc:creator>
  <cp:lastModifiedBy>机要室(收文)</cp:lastModifiedBy>
  <cp:lastPrinted>2022-10-02T06:01:00Z</cp:lastPrinted>
  <dcterms:modified xsi:type="dcterms:W3CDTF">2022-09-30T17:17:57Z</dcterms:modified>
  <dc:title>津经[2003]号</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