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64BE" w14:textId="77777777" w:rsidR="00255056" w:rsidRDefault="00255056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</w:p>
    <w:p w14:paraId="6AB3A5F6" w14:textId="77777777" w:rsidR="00255056" w:rsidRDefault="00F95810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附件：项目情况说明</w:t>
      </w:r>
    </w:p>
    <w:p w14:paraId="08F2BF83" w14:textId="77777777" w:rsidR="00255056" w:rsidRDefault="00F95810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项目名称：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多模式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立体化音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视频数据安全防护关键技术及应用</w:t>
      </w:r>
    </w:p>
    <w:p w14:paraId="63A9C2B4" w14:textId="77777777" w:rsidR="00255056" w:rsidRDefault="00F95810">
      <w:pPr>
        <w:widowControl/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提名奖项和等级：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科学技术进步奖、二等奖</w:t>
      </w:r>
    </w:p>
    <w:p w14:paraId="029F637D" w14:textId="77777777" w:rsidR="00255056" w:rsidRDefault="00F95810">
      <w:pPr>
        <w:widowControl/>
        <w:spacing w:line="560" w:lineRule="exact"/>
        <w:ind w:left="1968" w:hangingChars="700" w:hanging="1968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主要完成单位：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天津光电安辰信息技术股份有限公司、南开大学、天津光电通信技术有限公司、天津师范大学</w:t>
      </w:r>
    </w:p>
    <w:p w14:paraId="37B85BB2" w14:textId="2CC9C443" w:rsidR="00255056" w:rsidRDefault="00F95810">
      <w:pPr>
        <w:widowControl/>
        <w:ind w:left="1687" w:hangingChars="600" w:hanging="1687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主要完成人：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胡双喜、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吕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前进、李同、张睿、王为、宁博、贾玉凤、姚嘉</w:t>
      </w:r>
    </w:p>
    <w:p w14:paraId="537B0EAA" w14:textId="538D7C13" w:rsidR="00471777" w:rsidRDefault="00471777">
      <w:pPr>
        <w:widowControl/>
        <w:ind w:left="1687" w:hangingChars="600" w:hanging="1687"/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提名者：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天津经济技术开发区管理委员会</w:t>
      </w:r>
    </w:p>
    <w:p w14:paraId="36A298BA" w14:textId="77777777" w:rsidR="00255056" w:rsidRDefault="00F95810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项目简介：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</w:p>
    <w:p w14:paraId="16C9F8FB" w14:textId="77777777" w:rsidR="00255056" w:rsidRDefault="00F95810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 本项目研制的音视频数据安全防护关键技术及应用，针对当前存在的安全问题，通过融合多项国际先进技术和理论，研制成功6类安全防护硬件设备和4个软件系统，建立音视频数据安全防护统一管理平台，形成多模式保护、立体化阻断的策略，对不同形态、不同环境下的音视频数据进行安全防护，避免任何途径的音视频信息泄露，实现了对音视频数据全生命周期的安全防护。</w:t>
      </w:r>
    </w:p>
    <w:p w14:paraId="5D616DC1" w14:textId="77777777" w:rsidR="00255056" w:rsidRDefault="00F95810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创新点：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7DBC6445" w14:textId="77777777" w:rsidR="00255056" w:rsidRDefault="00F95810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（1）针对音视频数据信源端容易被窃取的问题，提出音视频探测、超声及脉冲攻防技术和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音视频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 xml:space="preserve">数据在线特征提取与状态挖掘相结合的全向监测和定向屏蔽技术，实现了音视频数据源的静态安全防护。 </w:t>
      </w:r>
    </w:p>
    <w:p w14:paraId="3F5F9F21" w14:textId="77777777" w:rsidR="00255056" w:rsidRDefault="00F95810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（2）在音视频数据采集、加工和流转过程中，针对非法设备入侵和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音视频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数据容易被截获的风险，设计了安全准入、数据防泄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lastRenderedPageBreak/>
        <w:t>密、高效编码和密钥机制、身份认证和安全数据技术相结合的监控加密方案，研制了音视频加密传输设备和 安全防护系统，实现了音视频数据中间过程的动态管控。</w:t>
      </w:r>
    </w:p>
    <w:p w14:paraId="52689CC3" w14:textId="77777777" w:rsidR="00255056" w:rsidRDefault="00F95810">
      <w:pPr>
        <w:widowControl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（3）在音视频数据使用、存储和共享的终端环节，针对音视频载体容易被偷拍偷录和拷贝的风险，设计了基于多方同态签名机制、面向终端的安全机器学习、人工智能和神经网络的终端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防拍摄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和溯源系统，实现音视频数据应用终端的闭环管理。</w:t>
      </w:r>
    </w:p>
    <w:p w14:paraId="1252D4A3" w14:textId="77777777" w:rsidR="00255056" w:rsidRDefault="00F95810">
      <w:pPr>
        <w:widowControl/>
        <w:spacing w:line="56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  <w:lang w:bidi="ar"/>
        </w:rPr>
        <w:t>主要技术支撑材料：</w:t>
      </w:r>
    </w:p>
    <w:p w14:paraId="0EB424FE" w14:textId="77777777" w:rsidR="00255056" w:rsidRDefault="00F95810">
      <w:pPr>
        <w:jc w:val="center"/>
      </w:pPr>
      <w:r>
        <w:rPr>
          <w:noProof/>
        </w:rPr>
        <w:drawing>
          <wp:inline distT="0" distB="0" distL="114300" distR="114300" wp14:anchorId="2FFBEB75" wp14:editId="6E84B068">
            <wp:extent cx="4381500" cy="4362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6374" w14:textId="77777777" w:rsidR="005B5D57" w:rsidRDefault="005B5D57" w:rsidP="00FC76AD">
      <w:r>
        <w:separator/>
      </w:r>
    </w:p>
  </w:endnote>
  <w:endnote w:type="continuationSeparator" w:id="0">
    <w:p w14:paraId="30364C5F" w14:textId="77777777" w:rsidR="005B5D57" w:rsidRDefault="005B5D57" w:rsidP="00FC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92A8" w14:textId="77777777" w:rsidR="005B5D57" w:rsidRDefault="005B5D57" w:rsidP="00FC76AD">
      <w:r>
        <w:separator/>
      </w:r>
    </w:p>
  </w:footnote>
  <w:footnote w:type="continuationSeparator" w:id="0">
    <w:p w14:paraId="228AA3F7" w14:textId="77777777" w:rsidR="005B5D57" w:rsidRDefault="005B5D57" w:rsidP="00FC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k2ZjU3ZGZlYjRlYTA0MzdhMjRjMjRiMzAwNDhjYjIifQ=="/>
  </w:docVars>
  <w:rsids>
    <w:rsidRoot w:val="763E2AEE"/>
    <w:rsid w:val="00255056"/>
    <w:rsid w:val="00471777"/>
    <w:rsid w:val="005B5D57"/>
    <w:rsid w:val="00672936"/>
    <w:rsid w:val="00741BAC"/>
    <w:rsid w:val="00F95810"/>
    <w:rsid w:val="00FC76AD"/>
    <w:rsid w:val="186C75EC"/>
    <w:rsid w:val="1A150575"/>
    <w:rsid w:val="2D2637A4"/>
    <w:rsid w:val="32B93E18"/>
    <w:rsid w:val="69FD3A6F"/>
    <w:rsid w:val="763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4CD7AE"/>
  <w15:docId w15:val="{D79CA329-514B-4663-BD26-ABFE45CA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6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C76A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FC7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C76A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慕橙</dc:creator>
  <cp:lastModifiedBy>kai nan</cp:lastModifiedBy>
  <cp:revision>5</cp:revision>
  <dcterms:created xsi:type="dcterms:W3CDTF">2023-08-19T12:54:00Z</dcterms:created>
  <dcterms:modified xsi:type="dcterms:W3CDTF">2023-08-19T13:38:00Z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0AAF514120154D75B785A8BAB88559B9_13</vt:lpwstr>
  </property>
</Properties>
</file>