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680" w:lineRule="exact"/>
        <w:jc w:val="left"/>
        <w:rPr>
          <w:rFonts w:ascii="黑体" w:hAnsi="黑体" w:eastAsia="黑体"/>
          <w:color w:val="000000"/>
          <w:szCs w:val="32"/>
        </w:rPr>
      </w:pPr>
      <w:bookmarkStart w:id="4" w:name="_GoBack"/>
      <w:bookmarkEnd w:id="4"/>
      <w:r>
        <w:rPr>
          <w:rFonts w:hint="eastAsia" w:ascii="黑体" w:hAnsi="黑体" w:eastAsia="黑体"/>
          <w:color w:val="000000"/>
          <w:szCs w:val="32"/>
        </w:rPr>
        <w:t>附件1</w:t>
      </w:r>
    </w:p>
    <w:p>
      <w:pPr>
        <w:pStyle w:val="4"/>
        <w:adjustRightInd w:val="0"/>
        <w:snapToGrid w:val="0"/>
        <w:spacing w:line="6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2019年天津市</w:t>
      </w:r>
      <w:r>
        <w:rPr>
          <w:rFonts w:hint="eastAsia" w:ascii="方正小标宋简体" w:eastAsia="方正小标宋简体"/>
          <w:color w:val="000000"/>
          <w:sz w:val="44"/>
          <w:szCs w:val="44"/>
        </w:rPr>
        <w:t>创新药物和医疗器械</w:t>
      </w:r>
    </w:p>
    <w:p>
      <w:pPr>
        <w:pStyle w:val="4"/>
        <w:adjustRightInd w:val="0"/>
        <w:snapToGrid w:val="0"/>
        <w:spacing w:line="6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科技重大专项申报指南</w:t>
      </w:r>
    </w:p>
    <w:p>
      <w:pPr>
        <w:pStyle w:val="4"/>
        <w:adjustRightInd w:val="0"/>
        <w:snapToGrid w:val="0"/>
        <w:spacing w:after="156" w:afterLines="50" w:line="680" w:lineRule="exact"/>
        <w:jc w:val="center"/>
        <w:rPr>
          <w:rFonts w:ascii="Times New Roman" w:eastAsia="仿宋_GB2312"/>
          <w:color w:val="000000"/>
          <w:sz w:val="30"/>
          <w:szCs w:val="30"/>
        </w:rPr>
      </w:pPr>
      <w:r>
        <w:rPr>
          <w:rFonts w:hint="eastAsia" w:ascii="Times New Roman" w:eastAsia="仿宋_GB2312"/>
          <w:color w:val="000000"/>
          <w:sz w:val="30"/>
          <w:szCs w:val="30"/>
        </w:rPr>
        <w:t>（征求意见稿）</w:t>
      </w:r>
    </w:p>
    <w:p>
      <w:pPr>
        <w:pStyle w:val="4"/>
        <w:adjustRightInd w:val="0"/>
        <w:snapToGrid w:val="0"/>
        <w:spacing w:line="560" w:lineRule="exact"/>
        <w:ind w:firstLine="640" w:firstLineChars="200"/>
        <w:rPr>
          <w:rFonts w:ascii="黑体" w:hAnsi="黑体" w:eastAsia="黑体"/>
          <w:color w:val="000000"/>
          <w:szCs w:val="32"/>
        </w:rPr>
      </w:pPr>
      <w:r>
        <w:rPr>
          <w:rFonts w:hint="eastAsia" w:ascii="黑体" w:hAnsi="黑体" w:eastAsia="黑体"/>
          <w:color w:val="000000"/>
          <w:szCs w:val="32"/>
        </w:rPr>
        <w:t>一、征集重点方向</w:t>
      </w:r>
    </w:p>
    <w:p>
      <w:pPr>
        <w:pStyle w:val="4"/>
        <w:adjustRightInd w:val="0"/>
        <w:snapToGrid w:val="0"/>
        <w:spacing w:line="560" w:lineRule="exact"/>
        <w:ind w:firstLine="640" w:firstLineChars="200"/>
        <w:rPr>
          <w:rFonts w:ascii="楷体" w:hAnsi="楷体" w:eastAsia="楷体"/>
          <w:color w:val="000000"/>
          <w:szCs w:val="32"/>
        </w:rPr>
      </w:pPr>
      <w:r>
        <w:rPr>
          <w:rFonts w:hint="eastAsia" w:ascii="楷体" w:hAnsi="楷体" w:eastAsia="楷体"/>
          <w:color w:val="000000"/>
          <w:szCs w:val="32"/>
        </w:rPr>
        <w:t>（一）新药临床研究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研究内容：支持已获得药物临床试验批件（或已核准临床研究备案），并通过临床伦理审批的品种开展临床试验研究。可申报品种包括：具有自主知识产权和临床比较优势的新药（化学药、中药和天然药物、生物制品）品种、填补国内空白的化学仿制药品种、生物类似药品种。</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考核指标：相关品种完成临床研究、申报新药证书或生产批件。新药品种也可完成某一期临床研究并启动下一期临床研究。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资助金额：每个项目不超过200万元。</w:t>
      </w:r>
    </w:p>
    <w:p>
      <w:pPr>
        <w:pStyle w:val="4"/>
        <w:adjustRightInd w:val="0"/>
        <w:snapToGrid w:val="0"/>
        <w:spacing w:line="560" w:lineRule="exact"/>
        <w:ind w:firstLine="640" w:firstLineChars="200"/>
        <w:rPr>
          <w:rFonts w:ascii="楷体" w:hAnsi="楷体" w:eastAsia="楷体"/>
          <w:color w:val="000000"/>
          <w:szCs w:val="32"/>
        </w:rPr>
      </w:pPr>
      <w:r>
        <w:rPr>
          <w:rFonts w:hint="eastAsia" w:ascii="楷体" w:hAnsi="楷体" w:eastAsia="楷体"/>
          <w:color w:val="000000"/>
          <w:szCs w:val="32"/>
        </w:rPr>
        <w:t>（二）化学仿制药质量和疗效一致性评价研究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研究内容：支持口服固体制剂按照要求开展质量和疗效一致性评价研究，包括非临床研究和通过临床伦理审批的生物等效性试验（BE试验）；支持注射剂开展质量和疗效一致性评价研究。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w:t>
      </w:r>
      <w:bookmarkStart w:id="0" w:name="OLE_LINK1"/>
      <w:bookmarkStart w:id="1" w:name="OLE_LINK2"/>
      <w:bookmarkStart w:id="2" w:name="OLE_LINK4"/>
      <w:bookmarkStart w:id="3" w:name="OLE_LINK3"/>
      <w:r>
        <w:rPr>
          <w:rFonts w:hint="eastAsia" w:ascii="Times New Roman" w:eastAsia="仿宋_GB2312"/>
          <w:color w:val="000000"/>
          <w:szCs w:val="32"/>
        </w:rPr>
        <w:t>开展</w:t>
      </w:r>
      <w:bookmarkEnd w:id="0"/>
      <w:bookmarkEnd w:id="1"/>
      <w:bookmarkEnd w:id="2"/>
      <w:bookmarkEnd w:id="3"/>
      <w:r>
        <w:rPr>
          <w:rFonts w:hint="eastAsia" w:ascii="Times New Roman" w:eastAsia="仿宋_GB2312"/>
          <w:color w:val="000000"/>
          <w:szCs w:val="32"/>
        </w:rPr>
        <w:t>非临床研究的应当达到BE报备，或是生产申报（对BE豁免的品种）；开展BE试验的应完成BE研究，并申报生产；开展注射剂一致性研究的，应当完成与参比制剂的比较研究报告。</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资助金额：BE试验研究项目，每个项目不超过200万元；其他研究项目，每个项目不超过100万元。</w:t>
      </w:r>
    </w:p>
    <w:p>
      <w:pPr>
        <w:pStyle w:val="4"/>
        <w:adjustRightInd w:val="0"/>
        <w:snapToGrid w:val="0"/>
        <w:spacing w:line="560" w:lineRule="exact"/>
        <w:ind w:firstLine="640" w:firstLineChars="200"/>
        <w:rPr>
          <w:rFonts w:ascii="黑体" w:hAnsi="黑体" w:eastAsia="黑体"/>
          <w:color w:val="000000"/>
          <w:szCs w:val="32"/>
        </w:rPr>
      </w:pPr>
      <w:r>
        <w:rPr>
          <w:rFonts w:hint="eastAsia" w:ascii="楷体" w:hAnsi="楷体" w:eastAsia="楷体"/>
          <w:color w:val="000000"/>
          <w:szCs w:val="32"/>
        </w:rPr>
        <w:t>（三）中药经典名方复方制剂研究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研究内容：按照</w:t>
      </w:r>
      <w:r>
        <w:rPr>
          <w:rFonts w:hint="eastAsia" w:eastAsia="仿宋_GB2312"/>
          <w:color w:val="000000"/>
          <w:szCs w:val="32"/>
        </w:rPr>
        <w:t>国家中医药管理局公布的《古代经典名方目录》的品种进行开发研究，包括标准汤剂和剂型研究。</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考核指标：形成相关研究报告</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资助金额：每个项目不超过100万元。</w:t>
      </w:r>
    </w:p>
    <w:p>
      <w:pPr>
        <w:pStyle w:val="4"/>
        <w:adjustRightInd w:val="0"/>
        <w:snapToGrid w:val="0"/>
        <w:spacing w:line="560" w:lineRule="exact"/>
        <w:ind w:firstLine="640" w:firstLineChars="200"/>
        <w:rPr>
          <w:rFonts w:ascii="Times New Roman"/>
          <w:strike/>
        </w:rPr>
      </w:pPr>
      <w:r>
        <w:rPr>
          <w:rFonts w:hint="eastAsia" w:ascii="楷体" w:hAnsi="楷体" w:eastAsia="楷体"/>
          <w:color w:val="000000"/>
          <w:szCs w:val="32"/>
        </w:rPr>
        <w:t>（四）</w:t>
      </w:r>
      <w:r>
        <w:rPr>
          <w:rFonts w:ascii="楷体" w:hAnsi="楷体" w:eastAsia="楷体"/>
          <w:color w:val="000000"/>
          <w:szCs w:val="32"/>
        </w:rPr>
        <w:t>微创手术类、生命支持类等诊疗器械产品</w:t>
      </w:r>
      <w:r>
        <w:rPr>
          <w:rFonts w:hint="eastAsia" w:ascii="楷体" w:hAnsi="楷体" w:eastAsia="楷体"/>
          <w:color w:val="000000"/>
          <w:szCs w:val="32"/>
        </w:rPr>
        <w:t>的</w:t>
      </w:r>
      <w:r>
        <w:rPr>
          <w:rFonts w:ascii="楷体" w:hAnsi="楷体" w:eastAsia="楷体"/>
          <w:color w:val="000000"/>
          <w:szCs w:val="32"/>
        </w:rPr>
        <w:t>研发</w:t>
      </w:r>
    </w:p>
    <w:p>
      <w:pPr>
        <w:pStyle w:val="13"/>
        <w:spacing w:line="520" w:lineRule="exact"/>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研究内容：支持内窥镜手术用有源设备、手术导航系统等微创手术器械的研发；支持呼吸机、麻醉机</w:t>
      </w:r>
      <w:r>
        <w:rPr>
          <w:rFonts w:hint="eastAsia" w:ascii="Times New Roman" w:hAnsi="Times New Roman" w:cs="Times New Roman"/>
          <w:color w:val="auto"/>
          <w:sz w:val="32"/>
          <w:szCs w:val="32"/>
        </w:rPr>
        <w:t>、智能监护仪器</w:t>
      </w:r>
      <w:r>
        <w:rPr>
          <w:rFonts w:ascii="Times New Roman" w:hAnsi="Times New Roman" w:cs="Times New Roman"/>
          <w:color w:val="auto"/>
          <w:sz w:val="32"/>
          <w:szCs w:val="32"/>
        </w:rPr>
        <w:t>等生命支持类医疗器械产品的研发</w:t>
      </w:r>
      <w:r>
        <w:rPr>
          <w:rFonts w:hint="eastAsia" w:ascii="Times New Roman" w:hAnsi="Times New Roman" w:cs="Times New Roman"/>
          <w:color w:val="auto"/>
          <w:sz w:val="32"/>
          <w:szCs w:val="32"/>
        </w:rPr>
        <w:t>。</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w:t>
      </w:r>
      <w:r>
        <w:rPr>
          <w:rFonts w:ascii="Times New Roman" w:eastAsia="仿宋_GB2312"/>
          <w:kern w:val="0"/>
          <w:szCs w:val="32"/>
        </w:rPr>
        <w:t>完成医疗器械产品注册证的申报或获得CE认证。</w:t>
      </w:r>
    </w:p>
    <w:p>
      <w:pPr>
        <w:pStyle w:val="4"/>
        <w:adjustRightInd w:val="0"/>
        <w:snapToGrid w:val="0"/>
        <w:spacing w:line="560" w:lineRule="exact"/>
        <w:ind w:firstLine="640" w:firstLineChars="200"/>
        <w:rPr>
          <w:rFonts w:ascii="黑体" w:hAnsi="黑体" w:eastAsia="黑体"/>
          <w:color w:val="000000"/>
          <w:szCs w:val="32"/>
        </w:rPr>
      </w:pPr>
      <w:r>
        <w:rPr>
          <w:rFonts w:hint="eastAsia" w:ascii="Times New Roman" w:eastAsia="仿宋_GB2312"/>
          <w:color w:val="000000"/>
          <w:szCs w:val="32"/>
        </w:rPr>
        <w:t>资助金额：每个项目不超过150万元。</w:t>
      </w:r>
    </w:p>
    <w:p>
      <w:pPr>
        <w:pStyle w:val="4"/>
        <w:adjustRightInd w:val="0"/>
        <w:snapToGrid w:val="0"/>
        <w:spacing w:line="560" w:lineRule="exact"/>
        <w:ind w:firstLine="640" w:firstLineChars="200"/>
        <w:rPr>
          <w:rFonts w:ascii="黑体" w:hAnsi="黑体" w:eastAsia="黑体"/>
          <w:color w:val="000000"/>
          <w:szCs w:val="32"/>
        </w:rPr>
      </w:pPr>
      <w:r>
        <w:rPr>
          <w:rFonts w:hint="eastAsia" w:ascii="楷体" w:hAnsi="楷体" w:eastAsia="楷体"/>
          <w:color w:val="000000"/>
          <w:szCs w:val="32"/>
        </w:rPr>
        <w:t>（五）</w:t>
      </w:r>
      <w:r>
        <w:rPr>
          <w:rFonts w:ascii="楷体" w:hAnsi="楷体" w:eastAsia="楷体"/>
          <w:color w:val="000000"/>
          <w:szCs w:val="32"/>
        </w:rPr>
        <w:t>植入介入类医疗器械产品及新型生物医用材料相关产品的研发</w:t>
      </w:r>
    </w:p>
    <w:p>
      <w:pPr>
        <w:pStyle w:val="13"/>
        <w:spacing w:line="520" w:lineRule="exact"/>
        <w:ind w:firstLine="640" w:firstLineChars="200"/>
        <w:rPr>
          <w:rFonts w:ascii="Times New Roman" w:hAnsi="Times New Roman" w:cs="Times New Roman"/>
          <w:color w:val="auto"/>
          <w:sz w:val="32"/>
        </w:rPr>
      </w:pPr>
      <w:r>
        <w:rPr>
          <w:rFonts w:ascii="Times New Roman" w:hAnsi="Times New Roman" w:cs="Times New Roman"/>
          <w:color w:val="auto"/>
          <w:sz w:val="32"/>
          <w:szCs w:val="32"/>
        </w:rPr>
        <w:t>研究内容：支持人工心脏、心脏支架、高端骨科植入物、</w:t>
      </w:r>
      <w:r>
        <w:rPr>
          <w:rFonts w:hint="eastAsia" w:ascii="Times New Roman" w:hAnsi="Times New Roman" w:cs="Times New Roman"/>
          <w:color w:val="auto"/>
          <w:sz w:val="32"/>
          <w:szCs w:val="32"/>
        </w:rPr>
        <w:t>3D打印植入物、</w:t>
      </w:r>
      <w:r>
        <w:rPr>
          <w:rFonts w:ascii="Times New Roman" w:hAnsi="Times New Roman" w:cs="Times New Roman"/>
          <w:color w:val="auto"/>
          <w:sz w:val="32"/>
          <w:szCs w:val="32"/>
        </w:rPr>
        <w:t>人工晶体等</w:t>
      </w:r>
      <w:r>
        <w:rPr>
          <w:rFonts w:ascii="Times New Roman" w:hAnsi="Times New Roman" w:eastAsia="楷体_GB2312" w:cs="Times New Roman"/>
          <w:color w:val="auto"/>
          <w:sz w:val="32"/>
        </w:rPr>
        <w:t>植入介入</w:t>
      </w:r>
      <w:r>
        <w:rPr>
          <w:rFonts w:ascii="Times New Roman" w:hAnsi="Times New Roman" w:cs="Times New Roman"/>
          <w:color w:val="auto"/>
          <w:sz w:val="32"/>
          <w:szCs w:val="32"/>
        </w:rPr>
        <w:t>医疗器械产品的研发</w:t>
      </w:r>
      <w:r>
        <w:rPr>
          <w:rFonts w:hint="eastAsia" w:ascii="Times New Roman" w:hAnsi="Times New Roman" w:cs="Times New Roman"/>
          <w:color w:val="auto"/>
          <w:sz w:val="32"/>
          <w:szCs w:val="32"/>
        </w:rPr>
        <w:t>；</w:t>
      </w:r>
      <w:r>
        <w:rPr>
          <w:rFonts w:ascii="Times New Roman" w:hAnsi="Times New Roman" w:cs="Times New Roman"/>
          <w:color w:val="auto"/>
          <w:sz w:val="32"/>
          <w:szCs w:val="32"/>
        </w:rPr>
        <w:t>支持神经修复材料、</w:t>
      </w:r>
      <w:r>
        <w:rPr>
          <w:rFonts w:hint="eastAsia" w:ascii="Times New Roman" w:hAnsi="Times New Roman" w:cs="Times New Roman"/>
          <w:color w:val="auto"/>
          <w:sz w:val="32"/>
          <w:szCs w:val="32"/>
        </w:rPr>
        <w:t>组织工程器官再生复合材料和支架材料、</w:t>
      </w:r>
      <w:r>
        <w:rPr>
          <w:rFonts w:ascii="Times New Roman" w:hAnsi="Times New Roman" w:cs="Times New Roman"/>
          <w:color w:val="auto"/>
          <w:sz w:val="32"/>
          <w:szCs w:val="32"/>
        </w:rPr>
        <w:t>胶原蛋白等新型生物医用材料相关产品的</w:t>
      </w:r>
      <w:r>
        <w:rPr>
          <w:rFonts w:hint="eastAsia" w:ascii="Times New Roman" w:hAnsi="Times New Roman" w:cs="Times New Roman"/>
          <w:color w:val="auto"/>
          <w:sz w:val="32"/>
          <w:szCs w:val="32"/>
        </w:rPr>
        <w:t>研</w:t>
      </w:r>
      <w:r>
        <w:rPr>
          <w:rFonts w:ascii="Times New Roman" w:hAnsi="Times New Roman" w:cs="Times New Roman"/>
          <w:color w:val="auto"/>
          <w:sz w:val="32"/>
          <w:szCs w:val="32"/>
        </w:rPr>
        <w:t>发。</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w:t>
      </w:r>
      <w:r>
        <w:rPr>
          <w:rFonts w:ascii="Times New Roman" w:eastAsia="仿宋_GB2312"/>
          <w:kern w:val="0"/>
          <w:szCs w:val="32"/>
        </w:rPr>
        <w:t>完成医疗器械产品注册证的申报或获得CE认证。</w:t>
      </w:r>
    </w:p>
    <w:p>
      <w:pPr>
        <w:pStyle w:val="13"/>
        <w:spacing w:line="520" w:lineRule="exact"/>
        <w:ind w:firstLine="640" w:firstLineChars="200"/>
        <w:rPr>
          <w:rFonts w:ascii="Times New Roman" w:hAnsi="Times New Roman" w:cs="Times New Roman"/>
          <w:color w:val="auto"/>
          <w:sz w:val="32"/>
          <w:szCs w:val="32"/>
        </w:rPr>
      </w:pPr>
      <w:r>
        <w:rPr>
          <w:rFonts w:hint="eastAsia" w:ascii="Times New Roman" w:hAnsi="Times New Roman" w:cs="Times New Roman"/>
          <w:color w:val="auto"/>
          <w:sz w:val="32"/>
          <w:szCs w:val="32"/>
        </w:rPr>
        <w:t>资助金额：每个项目不超过150万元。</w:t>
      </w:r>
    </w:p>
    <w:p>
      <w:pPr>
        <w:pStyle w:val="4"/>
        <w:adjustRightInd w:val="0"/>
        <w:snapToGrid w:val="0"/>
        <w:spacing w:line="560" w:lineRule="exact"/>
        <w:ind w:firstLine="640" w:firstLineChars="200"/>
        <w:rPr>
          <w:rFonts w:ascii="楷体" w:hAnsi="楷体" w:eastAsia="楷体"/>
          <w:color w:val="000000"/>
          <w:szCs w:val="32"/>
        </w:rPr>
      </w:pPr>
      <w:r>
        <w:rPr>
          <w:rFonts w:hint="eastAsia" w:ascii="楷体" w:hAnsi="楷体" w:eastAsia="楷体"/>
          <w:color w:val="000000"/>
          <w:szCs w:val="32"/>
        </w:rPr>
        <w:t>（六）临床检验器械、智能便携式/可穿戴生理监测产品的研发</w:t>
      </w:r>
    </w:p>
    <w:p>
      <w:pPr>
        <w:pStyle w:val="4"/>
        <w:adjustRightInd w:val="0"/>
        <w:snapToGrid w:val="0"/>
        <w:spacing w:line="560" w:lineRule="exact"/>
        <w:ind w:firstLine="640" w:firstLineChars="200"/>
        <w:rPr>
          <w:rFonts w:ascii="Times New Roman" w:eastAsia="仿宋_GB2312"/>
          <w:color w:val="000000"/>
          <w:szCs w:val="32"/>
        </w:rPr>
      </w:pPr>
      <w:r>
        <w:rPr>
          <w:rFonts w:ascii="Times New Roman" w:eastAsia="仿宋_GB2312"/>
          <w:color w:val="000000"/>
          <w:szCs w:val="32"/>
        </w:rPr>
        <w:t>研究内容：支持血液学分析、生化分析、免疫分析、分子生物学分析、尿液及其他样本分析等临床检验器械</w:t>
      </w:r>
      <w:r>
        <w:rPr>
          <w:rFonts w:hint="eastAsia" w:ascii="Times New Roman" w:eastAsia="仿宋_GB2312"/>
          <w:color w:val="000000"/>
          <w:szCs w:val="32"/>
        </w:rPr>
        <w:t>以及至少两种类别以上集成流水线的</w:t>
      </w:r>
      <w:r>
        <w:rPr>
          <w:rFonts w:ascii="Times New Roman" w:eastAsia="仿宋_GB2312"/>
          <w:color w:val="000000"/>
          <w:szCs w:val="32"/>
        </w:rPr>
        <w:t>研发</w:t>
      </w:r>
      <w:r>
        <w:rPr>
          <w:rFonts w:hint="eastAsia" w:ascii="Times New Roman" w:eastAsia="仿宋_GB2312"/>
          <w:color w:val="000000"/>
          <w:szCs w:val="32"/>
        </w:rPr>
        <w:t>；支持针对连续性或长期生理指标数据采集、监测等需求的患者，开发家用医疗器械智能辅助诊疗终端产品。</w:t>
      </w:r>
    </w:p>
    <w:p>
      <w:pPr>
        <w:pStyle w:val="4"/>
        <w:adjustRightInd w:val="0"/>
        <w:snapToGrid w:val="0"/>
        <w:spacing w:line="560" w:lineRule="exact"/>
        <w:ind w:firstLine="640" w:firstLineChars="200"/>
        <w:rPr>
          <w:rFonts w:ascii="Times New Roman" w:eastAsia="仿宋_GB2312"/>
          <w:color w:val="000000"/>
          <w:szCs w:val="32"/>
        </w:rPr>
      </w:pPr>
      <w:r>
        <w:rPr>
          <w:rFonts w:hint="eastAsia" w:ascii="Times New Roman" w:eastAsia="仿宋_GB2312"/>
          <w:color w:val="000000"/>
          <w:szCs w:val="32"/>
        </w:rPr>
        <w:t>考核指标：</w:t>
      </w:r>
      <w:r>
        <w:rPr>
          <w:rFonts w:ascii="Times New Roman" w:eastAsia="仿宋_GB2312"/>
          <w:kern w:val="0"/>
          <w:szCs w:val="32"/>
        </w:rPr>
        <w:t>完成医疗器械产品注册证的申报或获得CE认证。</w:t>
      </w:r>
    </w:p>
    <w:p>
      <w:pPr>
        <w:pStyle w:val="4"/>
        <w:adjustRightInd w:val="0"/>
        <w:snapToGrid w:val="0"/>
        <w:spacing w:line="560" w:lineRule="exact"/>
        <w:ind w:firstLine="640" w:firstLineChars="200"/>
        <w:rPr>
          <w:rFonts w:ascii="Times New Roman" w:eastAsia="仿宋_GB2312"/>
          <w:szCs w:val="32"/>
        </w:rPr>
      </w:pPr>
      <w:r>
        <w:rPr>
          <w:rFonts w:hint="eastAsia" w:ascii="Times New Roman" w:eastAsia="仿宋_GB2312"/>
          <w:szCs w:val="32"/>
        </w:rPr>
        <w:t>资助金额：每个项目不超过150万元。</w:t>
      </w:r>
    </w:p>
    <w:p>
      <w:pPr>
        <w:pStyle w:val="4"/>
        <w:adjustRightInd w:val="0"/>
        <w:snapToGrid w:val="0"/>
        <w:spacing w:line="560" w:lineRule="exact"/>
        <w:ind w:firstLine="640" w:firstLineChars="200"/>
        <w:rPr>
          <w:rFonts w:ascii="黑体" w:hAnsi="黑体" w:eastAsia="黑体"/>
          <w:color w:val="000000"/>
          <w:szCs w:val="32"/>
        </w:rPr>
      </w:pPr>
      <w:r>
        <w:rPr>
          <w:rFonts w:hint="eastAsia" w:ascii="黑体" w:hAnsi="黑体" w:eastAsia="黑体"/>
          <w:color w:val="000000"/>
          <w:szCs w:val="32"/>
        </w:rPr>
        <w:t>二、申报要求</w:t>
      </w:r>
    </w:p>
    <w:p>
      <w:pPr>
        <w:pStyle w:val="4"/>
        <w:adjustRightInd w:val="0"/>
        <w:snapToGrid w:val="0"/>
        <w:spacing w:line="560" w:lineRule="exact"/>
        <w:ind w:firstLine="640" w:firstLineChars="200"/>
        <w:rPr>
          <w:rFonts w:ascii="Times New Roman" w:eastAsia="仿宋_GB2312"/>
          <w:kern w:val="0"/>
          <w:szCs w:val="32"/>
        </w:rPr>
      </w:pPr>
      <w:r>
        <w:rPr>
          <w:rFonts w:hint="eastAsia" w:ascii="Times New Roman" w:eastAsia="仿宋_GB2312"/>
          <w:kern w:val="0"/>
          <w:szCs w:val="32"/>
        </w:rPr>
        <w:t>（一）项目研究若涉及高致病性病原微生物、医学伦理和人类遗传资源采集、收集、买卖、出口、出境等活动，须遵照《病原微生物实验室生物安全管理条例》、《涉及人的生物医学研究伦理审查办法》和《人类遗传资源管理暂行办法》相关规定执行。</w:t>
      </w:r>
    </w:p>
    <w:p>
      <w:pPr>
        <w:pStyle w:val="4"/>
        <w:adjustRightInd w:val="0"/>
        <w:snapToGrid w:val="0"/>
        <w:spacing w:line="560" w:lineRule="exact"/>
        <w:ind w:firstLine="640" w:firstLineChars="200"/>
        <w:rPr>
          <w:rFonts w:ascii="Times New Roman" w:eastAsia="仿宋_GB2312"/>
          <w:kern w:val="0"/>
          <w:szCs w:val="32"/>
        </w:rPr>
      </w:pPr>
      <w:r>
        <w:rPr>
          <w:rFonts w:hint="eastAsia" w:ascii="Times New Roman" w:eastAsia="仿宋_GB2312"/>
          <w:kern w:val="0"/>
          <w:szCs w:val="32"/>
        </w:rPr>
        <w:t>（二）申报重点方向（一）的项目所附药物临床批件的申请人如果为两家及以上单位的，项目第一承担单位必须提供药物临床批件上所列的所有申请人事先签署具有法律约束力的协议，明确任务分工及知识产权归属和利益分配机制等要素。并将所有申请人列为项目承担单位。</w:t>
      </w:r>
    </w:p>
    <w:p>
      <w:pPr>
        <w:pStyle w:val="4"/>
        <w:adjustRightInd w:val="0"/>
        <w:snapToGrid w:val="0"/>
        <w:spacing w:line="560" w:lineRule="exact"/>
        <w:ind w:firstLine="640" w:firstLineChars="200"/>
        <w:rPr>
          <w:rFonts w:ascii="Times New Roman" w:eastAsia="仿宋_GB2312"/>
          <w:kern w:val="0"/>
          <w:szCs w:val="32"/>
        </w:rPr>
      </w:pPr>
      <w:r>
        <w:rPr>
          <w:rFonts w:hint="eastAsia" w:ascii="Times New Roman" w:eastAsia="仿宋_GB2312"/>
          <w:kern w:val="0"/>
          <w:szCs w:val="32"/>
        </w:rPr>
        <w:t>（三）申报重点方向（四）、（五）、（六）的</w:t>
      </w:r>
      <w:r>
        <w:rPr>
          <w:rFonts w:ascii="Times New Roman" w:eastAsia="仿宋_GB2312"/>
          <w:kern w:val="0"/>
          <w:szCs w:val="32"/>
        </w:rPr>
        <w:t>项目须已</w:t>
      </w:r>
      <w:r>
        <w:rPr>
          <w:rFonts w:hint="eastAsia" w:ascii="Times New Roman" w:eastAsia="仿宋_GB2312"/>
          <w:kern w:val="0"/>
          <w:szCs w:val="32"/>
        </w:rPr>
        <w:t>在具有符合相关资质的官方检验中心开始</w:t>
      </w:r>
      <w:r>
        <w:rPr>
          <w:rFonts w:ascii="Times New Roman" w:eastAsia="仿宋_GB2312"/>
          <w:kern w:val="0"/>
          <w:szCs w:val="32"/>
        </w:rPr>
        <w:t>检测工作，</w:t>
      </w:r>
      <w:r>
        <w:rPr>
          <w:rFonts w:hint="eastAsia" w:ascii="Times New Roman" w:eastAsia="仿宋_GB2312"/>
          <w:kern w:val="0"/>
          <w:szCs w:val="32"/>
        </w:rPr>
        <w:t>并</w:t>
      </w:r>
      <w:r>
        <w:rPr>
          <w:rFonts w:ascii="Times New Roman" w:eastAsia="仿宋_GB2312"/>
          <w:kern w:val="0"/>
          <w:szCs w:val="32"/>
        </w:rPr>
        <w:t>提供医疗器械质量监督检验中心的受理通知书或产品CE认证相关进展证明材料</w:t>
      </w:r>
      <w:r>
        <w:rPr>
          <w:rFonts w:hint="eastAsia" w:ascii="Times New Roman" w:eastAsia="仿宋_GB2312"/>
          <w:kern w:val="0"/>
          <w:szCs w:val="32"/>
        </w:rPr>
        <w:t>。</w:t>
      </w:r>
    </w:p>
    <w:p>
      <w:pPr>
        <w:pStyle w:val="4"/>
        <w:adjustRightInd w:val="0"/>
        <w:snapToGrid w:val="0"/>
        <w:spacing w:line="560" w:lineRule="exact"/>
        <w:ind w:firstLine="640" w:firstLineChars="200"/>
        <w:rPr>
          <w:rFonts w:ascii="黑体" w:hAnsi="黑体" w:eastAsia="黑体"/>
          <w:color w:val="000000"/>
          <w:szCs w:val="32"/>
        </w:rPr>
      </w:pPr>
      <w:r>
        <w:rPr>
          <w:rFonts w:hint="eastAsia" w:ascii="黑体" w:hAnsi="黑体" w:eastAsia="黑体"/>
          <w:color w:val="000000"/>
          <w:szCs w:val="32"/>
        </w:rPr>
        <w:t>三、优先支持条件</w:t>
      </w:r>
    </w:p>
    <w:p>
      <w:pPr>
        <w:pStyle w:val="4"/>
        <w:adjustRightInd w:val="0"/>
        <w:snapToGrid w:val="0"/>
        <w:spacing w:line="560" w:lineRule="exact"/>
        <w:ind w:firstLine="640" w:firstLineChars="200"/>
        <w:rPr>
          <w:rFonts w:ascii="Times New Roman" w:eastAsia="仿宋_GB2312"/>
          <w:kern w:val="0"/>
          <w:szCs w:val="32"/>
        </w:rPr>
      </w:pPr>
      <w:r>
        <w:rPr>
          <w:rFonts w:hint="eastAsia" w:ascii="Times New Roman" w:eastAsia="仿宋_GB2312"/>
          <w:kern w:val="0"/>
          <w:szCs w:val="32"/>
        </w:rPr>
        <w:t>（一）优先支持自2018年1月1日以来，由外省市（特别是京冀地区）新落户我市的企业和研发机构申报的项目。</w:t>
      </w:r>
    </w:p>
    <w:p>
      <w:pPr>
        <w:pStyle w:val="4"/>
        <w:adjustRightInd w:val="0"/>
        <w:snapToGrid w:val="0"/>
        <w:spacing w:line="560" w:lineRule="exact"/>
        <w:ind w:firstLine="640" w:firstLineChars="200"/>
        <w:rPr>
          <w:rFonts w:eastAsia="仿宋_GB2312"/>
        </w:rPr>
      </w:pPr>
      <w:r>
        <w:rPr>
          <w:rFonts w:hint="eastAsia" w:ascii="Times New Roman" w:eastAsia="仿宋_GB2312"/>
          <w:kern w:val="0"/>
          <w:szCs w:val="32"/>
        </w:rPr>
        <w:t>（二）申报重点方向（一）的项目</w:t>
      </w:r>
      <w:r>
        <w:rPr>
          <w:rFonts w:hint="eastAsia" w:eastAsia="仿宋_GB2312"/>
        </w:rPr>
        <w:t>优先支持儿童用药、列入《关于公布第一批罕见病目录的通知（国卫医发〔2018〕10号）》中疾病的治疗用药。优先支持药物临床试验批件第一申请人为我市单位的项目。</w:t>
      </w:r>
    </w:p>
    <w:p>
      <w:pPr>
        <w:pStyle w:val="4"/>
        <w:adjustRightInd w:val="0"/>
        <w:snapToGrid w:val="0"/>
        <w:spacing w:line="560" w:lineRule="exact"/>
        <w:ind w:firstLine="640" w:firstLineChars="200"/>
        <w:rPr>
          <w:rFonts w:eastAsia="仿宋_GB2312"/>
        </w:rPr>
      </w:pPr>
      <w:r>
        <w:rPr>
          <w:rFonts w:hint="eastAsia" w:eastAsia="仿宋_GB2312"/>
        </w:rPr>
        <w:t>（三）医疗器械项目优先支持POCT（即时检验）类产品。</w:t>
      </w:r>
    </w:p>
    <w:p>
      <w:pPr>
        <w:widowControl/>
        <w:jc w:val="left"/>
        <w:rPr>
          <w:rFonts w:ascii="楷体_GB2312" w:hAnsi="Times New Roman" w:eastAsia="仿宋_GB2312" w:cs="Times New Roman"/>
          <w:sz w:val="3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0D"/>
    <w:rsid w:val="001E6177"/>
    <w:rsid w:val="00202D0D"/>
    <w:rsid w:val="00256004"/>
    <w:rsid w:val="0028731F"/>
    <w:rsid w:val="00292620"/>
    <w:rsid w:val="003D30E4"/>
    <w:rsid w:val="005469E0"/>
    <w:rsid w:val="005F330F"/>
    <w:rsid w:val="00677572"/>
    <w:rsid w:val="006971BC"/>
    <w:rsid w:val="006F32F1"/>
    <w:rsid w:val="00781C91"/>
    <w:rsid w:val="008B697E"/>
    <w:rsid w:val="008C7EE9"/>
    <w:rsid w:val="008D7082"/>
    <w:rsid w:val="009147DD"/>
    <w:rsid w:val="00982C10"/>
    <w:rsid w:val="00A22F00"/>
    <w:rsid w:val="00A230DE"/>
    <w:rsid w:val="00A56B08"/>
    <w:rsid w:val="00B9082D"/>
    <w:rsid w:val="00C3396D"/>
    <w:rsid w:val="00CE0EB6"/>
    <w:rsid w:val="00D67D2C"/>
    <w:rsid w:val="00E24E99"/>
    <w:rsid w:val="00ED277F"/>
    <w:rsid w:val="00F8688E"/>
    <w:rsid w:val="5107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2"/>
    <w:uiPriority w:val="0"/>
    <w:pPr>
      <w:tabs>
        <w:tab w:val="left" w:pos="180"/>
        <w:tab w:val="left" w:pos="1440"/>
      </w:tabs>
      <w:spacing w:line="500" w:lineRule="exact"/>
    </w:pPr>
    <w:rPr>
      <w:rFonts w:ascii="楷体_GB2312" w:hAnsi="Times New Roman" w:eastAsia="楷体_GB2312" w:cs="Times New Roman"/>
      <w:sz w:val="32"/>
      <w:szCs w:val="24"/>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3"/>
    <w:uiPriority w:val="99"/>
    <w:rPr>
      <w:sz w:val="18"/>
      <w:szCs w:val="18"/>
    </w:rPr>
  </w:style>
  <w:style w:type="character" w:customStyle="1" w:styleId="10">
    <w:name w:val="页脚 Char"/>
    <w:basedOn w:val="8"/>
    <w:link w:val="2"/>
    <w:uiPriority w:val="99"/>
    <w:rPr>
      <w:sz w:val="18"/>
      <w:szCs w:val="18"/>
    </w:rPr>
  </w:style>
  <w:style w:type="paragraph" w:customStyle="1" w:styleId="11">
    <w:name w:val="任标题"/>
    <w:basedOn w:val="1"/>
    <w:uiPriority w:val="0"/>
    <w:pPr>
      <w:spacing w:before="312" w:beforeLines="100" w:after="156" w:afterLines="50"/>
      <w:jc w:val="center"/>
    </w:pPr>
    <w:rPr>
      <w:rFonts w:ascii="黑体" w:hAnsi="Times New Roman" w:eastAsia="黑体" w:cs="Times New Roman"/>
      <w:sz w:val="36"/>
      <w:szCs w:val="36"/>
    </w:rPr>
  </w:style>
  <w:style w:type="character" w:customStyle="1" w:styleId="12">
    <w:name w:val="正文文本 2 Char"/>
    <w:basedOn w:val="8"/>
    <w:link w:val="4"/>
    <w:uiPriority w:val="0"/>
    <w:rPr>
      <w:rFonts w:ascii="楷体_GB2312" w:hAnsi="Times New Roman" w:eastAsia="楷体_GB2312" w:cs="Times New Roman"/>
      <w:sz w:val="32"/>
      <w:szCs w:val="24"/>
    </w:rPr>
  </w:style>
  <w:style w:type="paragraph" w:customStyle="1" w:styleId="13">
    <w:name w:val="Defaul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4">
    <w:name w:val="Char Char Char Char Char Char Char Char Char1 Char Char Char Char Char Char Char"/>
    <w:basedOn w:val="1"/>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Words>
  <Characters>1380</Characters>
  <Lines>11</Lines>
  <Paragraphs>3</Paragraphs>
  <TotalTime>0</TotalTime>
  <ScaleCrop>false</ScaleCrop>
  <LinksUpToDate>false</LinksUpToDate>
  <CharactersWithSpaces>1618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2019-04-08T02:42:00Z</dcterms:created>
  <dc:creator>renrong</dc:creator>
  <cp:lastModifiedBy>豚豚</cp:lastModifiedBy>
  <dcterms:modified xsi:type="dcterms:W3CDTF">2019-04-08T10:35:59Z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