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680" w:lineRule="exact"/>
        <w:jc w:val="left"/>
        <w:rPr>
          <w:rFonts w:ascii="黑体" w:hAnsi="黑体" w:eastAsia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Cs w:val="32"/>
        </w:rPr>
        <w:t>附件1</w:t>
      </w:r>
    </w:p>
    <w:bookmarkEnd w:id="0"/>
    <w:p>
      <w:pPr>
        <w:pStyle w:val="5"/>
        <w:adjustRightInd w:val="0"/>
        <w:snapToGrid w:val="0"/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2019年天津市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重大疾病防治</w:t>
      </w:r>
      <w:r>
        <w:rPr>
          <w:rFonts w:ascii="方正小标宋简体" w:eastAsia="方正小标宋简体"/>
          <w:color w:val="000000"/>
          <w:sz w:val="44"/>
          <w:szCs w:val="44"/>
        </w:rPr>
        <w:t>科技重大专项申报指南</w:t>
      </w:r>
    </w:p>
    <w:p>
      <w:pPr>
        <w:pStyle w:val="5"/>
        <w:adjustRightInd w:val="0"/>
        <w:snapToGrid w:val="0"/>
        <w:spacing w:after="156" w:afterLines="50" w:line="680" w:lineRule="exact"/>
        <w:jc w:val="center"/>
        <w:rPr>
          <w:rFonts w:ascii="Times New Roman" w:eastAsia="仿宋_GB2312"/>
          <w:color w:val="000000"/>
          <w:sz w:val="30"/>
          <w:szCs w:val="30"/>
        </w:rPr>
      </w:pPr>
      <w:r>
        <w:rPr>
          <w:rFonts w:hint="eastAsia" w:ascii="Times New Roman" w:eastAsia="仿宋_GB2312"/>
          <w:color w:val="000000"/>
          <w:sz w:val="30"/>
          <w:szCs w:val="30"/>
        </w:rPr>
        <w:t>（征求意见稿）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一、征集重点方向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本专项对接国家创新2030重大专项，拟针对恶性肿瘤、脑血管疾病等重大疾病进行研究，主要支持以下几个方向：</w:t>
      </w:r>
    </w:p>
    <w:p>
      <w:pPr>
        <w:spacing w:line="64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（一）恶性肿瘤</w:t>
      </w:r>
      <w:r>
        <w:rPr>
          <w:rFonts w:ascii="楷体_GB2312" w:hAnsi="Times New Roman" w:eastAsia="楷体_GB2312" w:cs="Times New Roman"/>
          <w:sz w:val="32"/>
          <w:szCs w:val="32"/>
        </w:rPr>
        <w:t>防</w:t>
      </w:r>
      <w:r>
        <w:rPr>
          <w:rFonts w:hint="eastAsia" w:ascii="楷体_GB2312" w:hAnsi="Times New Roman" w:eastAsia="楷体_GB2312" w:cs="Times New Roman"/>
          <w:sz w:val="32"/>
          <w:szCs w:val="32"/>
        </w:rPr>
        <w:t>治</w:t>
      </w:r>
      <w:r>
        <w:rPr>
          <w:rFonts w:ascii="楷体_GB2312" w:hAnsi="Times New Roman" w:eastAsia="楷体_GB2312" w:cs="Times New Roman"/>
          <w:sz w:val="32"/>
          <w:szCs w:val="32"/>
        </w:rPr>
        <w:t>技术研究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：重点支持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针对严重危害我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市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人民健康的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呼吸系统肿瘤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、妇科肿瘤、消化道肿瘤及白血病等恶性肿瘤的早期诊断、预防、早期治疗技术研究；相关疾病的临床诊疗技术、</w:t>
      </w:r>
      <w:r>
        <w:rPr>
          <w:rFonts w:ascii="Times New Roman" w:hAnsi="Times New Roman" w:eastAsia="仿宋_GB2312" w:cs="Times New Roman"/>
          <w:sz w:val="32"/>
          <w:szCs w:val="32"/>
        </w:rPr>
        <w:t>策略及评价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及优化</w:t>
      </w:r>
      <w:r>
        <w:rPr>
          <w:rFonts w:ascii="Times New Roman" w:hAnsi="Times New Roman" w:eastAsia="仿宋_GB2312" w:cs="Times New Roman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；相关疾病的精准医疗技术研究。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考核指标：制定或优化早期治疗方案；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对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相关疾病的临床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治疗方案进行评价及优化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资助金额：每项目50万元或以上。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（二）脑血管疾病</w:t>
      </w:r>
      <w:r>
        <w:rPr>
          <w:rFonts w:ascii="楷体_GB2312" w:hAnsi="Times New Roman" w:eastAsia="楷体_GB2312" w:cs="Times New Roman"/>
          <w:sz w:val="32"/>
          <w:szCs w:val="32"/>
        </w:rPr>
        <w:t>防</w:t>
      </w:r>
      <w:r>
        <w:rPr>
          <w:rFonts w:hint="eastAsia" w:ascii="楷体_GB2312" w:hAnsi="Times New Roman" w:eastAsia="楷体_GB2312" w:cs="Times New Roman"/>
          <w:sz w:val="32"/>
          <w:szCs w:val="32"/>
        </w:rPr>
        <w:t>治</w:t>
      </w:r>
      <w:r>
        <w:rPr>
          <w:rFonts w:ascii="楷体_GB2312" w:hAnsi="Times New Roman" w:eastAsia="楷体_GB2312" w:cs="Times New Roman"/>
          <w:sz w:val="32"/>
          <w:szCs w:val="32"/>
        </w:rPr>
        <w:t>技术研究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研究内容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：重点支持脑卒中、急性脑梗、硬膜下血肿等疾病的</w:t>
      </w:r>
      <w:r>
        <w:rPr>
          <w:rFonts w:ascii="Times New Roman" w:hAnsi="Times New Roman" w:eastAsia="仿宋_GB2312" w:cs="Times New Roman"/>
          <w:sz w:val="32"/>
          <w:szCs w:val="32"/>
        </w:rPr>
        <w:t>早期诊断、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预防、</w:t>
      </w:r>
      <w:r>
        <w:rPr>
          <w:rFonts w:ascii="Times New Roman" w:hAnsi="Times New Roman" w:eastAsia="仿宋_GB2312" w:cs="Times New Roman"/>
          <w:sz w:val="32"/>
          <w:szCs w:val="32"/>
        </w:rPr>
        <w:t>早期治疗技术研究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；相关疾病的</w:t>
      </w:r>
      <w:r>
        <w:rPr>
          <w:rFonts w:ascii="Times New Roman" w:hAnsi="Times New Roman" w:eastAsia="仿宋_GB2312" w:cs="Times New Roman"/>
          <w:sz w:val="32"/>
          <w:szCs w:val="32"/>
        </w:rPr>
        <w:t>临床诊疗技术、策略及评价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及优化</w:t>
      </w:r>
      <w:r>
        <w:rPr>
          <w:rFonts w:ascii="Times New Roman" w:hAnsi="Times New Roman" w:eastAsia="仿宋_GB2312" w:cs="Times New Roman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；相关疾病的精准医疗技术研究。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考核指标：制定或优化早期治疗方案；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对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相关疾病的临床</w:t>
      </w:r>
      <w:r>
        <w:rPr>
          <w:rFonts w:ascii="Times New Roman" w:hAnsi="Times New Roman" w:eastAsia="仿宋_GB2312" w:cs="Times New Roman"/>
          <w:bCs/>
          <w:sz w:val="32"/>
          <w:szCs w:val="30"/>
        </w:rPr>
        <w:t>治疗方案进行评价及优化</w:t>
      </w:r>
      <w:r>
        <w:rPr>
          <w:rFonts w:hint="eastAsia" w:ascii="Times New Roman" w:hAnsi="Times New Roman" w:eastAsia="仿宋_GB2312" w:cs="Times New Roman"/>
          <w:bCs/>
          <w:sz w:val="32"/>
          <w:szCs w:val="30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资助金额：每项目50万元或以上。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二、申报要求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（一）申报项目由医疗机构牵头申报，研究方向符合指南要求；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（二）在项目完成时，建立早期诊断和预警的综合诊断指标体系，建立规范化诊疗方案或对现有方案进行优化，形成相关疾病的早期诊断、预防、治疗策略和方案；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项目研究若涉及高致病性病原微生物、医学伦理和人类遗传资源采集、收集、买卖、出口、出境等活动，须遵照《病原微生物实验室生物安全管理条例》、《涉及人的生物医学研究伦理审查办法》和《人类遗传资源管理暂行办法》相关规定执行。涉及实验动物和动物实验，要遵守国家实验动物管理的法律、法规、技术标准及有关规定，使用合格实验动物，在合格设施内进行动物实验，保证实验过程合法，实验结果真实、有效，并通过实验动物福利和伦理审查。申报本专项则视为同意本条款；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（四）鼓励多中心临床研究和大型临床队列研究。</w:t>
      </w:r>
      <w:r>
        <w:rPr>
          <w:rFonts w:eastAsia="仿宋_GB2312"/>
        </w:rPr>
        <w:br w:type="page"/>
      </w:r>
    </w:p>
    <w:p>
      <w:pPr>
        <w:pStyle w:val="6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pStyle w:val="6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意见反馈表</w:t>
      </w:r>
    </w:p>
    <w:p>
      <w:pPr>
        <w:pStyle w:val="6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单位盖章（或个人签字）：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 话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箱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adjustRightInd w:val="0"/>
        <w:snapToGrid w:val="0"/>
        <w:spacing w:line="560" w:lineRule="exact"/>
        <w:rPr>
          <w:rFonts w:ascii="Times New Roman" w:eastAsia="仿宋_GB2312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D"/>
    <w:rsid w:val="00033275"/>
    <w:rsid w:val="001E6177"/>
    <w:rsid w:val="001E66C5"/>
    <w:rsid w:val="00202D0D"/>
    <w:rsid w:val="002444B3"/>
    <w:rsid w:val="0028731F"/>
    <w:rsid w:val="00292620"/>
    <w:rsid w:val="002D0924"/>
    <w:rsid w:val="00346050"/>
    <w:rsid w:val="003A4D7F"/>
    <w:rsid w:val="003D30E4"/>
    <w:rsid w:val="00453DDA"/>
    <w:rsid w:val="005469E0"/>
    <w:rsid w:val="005F330F"/>
    <w:rsid w:val="006971BC"/>
    <w:rsid w:val="006F32F1"/>
    <w:rsid w:val="00781C91"/>
    <w:rsid w:val="00815C6A"/>
    <w:rsid w:val="008A124F"/>
    <w:rsid w:val="008B697E"/>
    <w:rsid w:val="008C7EE9"/>
    <w:rsid w:val="008D7082"/>
    <w:rsid w:val="008E7999"/>
    <w:rsid w:val="00911B6F"/>
    <w:rsid w:val="00982C10"/>
    <w:rsid w:val="00992122"/>
    <w:rsid w:val="00A22F00"/>
    <w:rsid w:val="00B73CBD"/>
    <w:rsid w:val="00B9082D"/>
    <w:rsid w:val="00C33E0F"/>
    <w:rsid w:val="00D102A8"/>
    <w:rsid w:val="00DA4406"/>
    <w:rsid w:val="00DA4DFB"/>
    <w:rsid w:val="00E24E99"/>
    <w:rsid w:val="00E768E6"/>
    <w:rsid w:val="00ED277F"/>
    <w:rsid w:val="00F603F8"/>
    <w:rsid w:val="00F8688E"/>
    <w:rsid w:val="00FB2BE8"/>
    <w:rsid w:val="176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3"/>
    <w:uiPriority w:val="0"/>
    <w:pPr>
      <w:tabs>
        <w:tab w:val="left" w:pos="180"/>
        <w:tab w:val="left" w:pos="1440"/>
      </w:tabs>
      <w:spacing w:line="500" w:lineRule="exact"/>
    </w:pPr>
    <w:rPr>
      <w:rFonts w:ascii="楷体_GB2312" w:hAnsi="Times New Roman" w:eastAsia="楷体_GB2312" w:cs="Times New Roman"/>
      <w:sz w:val="32"/>
      <w:szCs w:val="24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uiPriority w:val="99"/>
    <w:rPr>
      <w:sz w:val="18"/>
      <w:szCs w:val="18"/>
    </w:rPr>
  </w:style>
  <w:style w:type="paragraph" w:customStyle="1" w:styleId="12">
    <w:name w:val="任标题"/>
    <w:basedOn w:val="1"/>
    <w:uiPriority w:val="0"/>
    <w:pPr>
      <w:spacing w:before="312" w:beforeLines="100" w:after="156" w:afterLines="50"/>
      <w:jc w:val="center"/>
    </w:pPr>
    <w:rPr>
      <w:rFonts w:ascii="黑体" w:hAnsi="Times New Roman" w:eastAsia="黑体" w:cs="Times New Roman"/>
      <w:sz w:val="36"/>
      <w:szCs w:val="36"/>
    </w:rPr>
  </w:style>
  <w:style w:type="character" w:customStyle="1" w:styleId="13">
    <w:name w:val="正文文本 2 Char"/>
    <w:basedOn w:val="9"/>
    <w:link w:val="5"/>
    <w:uiPriority w:val="0"/>
    <w:rPr>
      <w:rFonts w:ascii="楷体_GB2312" w:hAnsi="Times New Roman" w:eastAsia="楷体_GB2312" w:cs="Times New Roman"/>
      <w:sz w:val="32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6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Lines>6</Lines>
  <Paragraphs>1</Paragraphs>
  <TotalTime>7</TotalTime>
  <ScaleCrop>false</ScaleCrop>
  <LinksUpToDate>false</LinksUpToDate>
  <CharactersWithSpaces>852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2019-04-08T02:44:00Z</dcterms:created>
  <dc:creator>renrong</dc:creator>
  <cp:lastModifiedBy>豚豚</cp:lastModifiedBy>
  <cp:lastPrinted>2019-04-04T00:35:00Z</cp:lastPrinted>
  <dcterms:modified xsi:type="dcterms:W3CDTF">2019-04-08T10:51:04Z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