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F" w:rsidRDefault="007C124D" w:rsidP="002F132B">
      <w:pPr>
        <w:spacing w:beforeLines="50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</w:t>
      </w:r>
      <w:r w:rsidR="00FE64C9">
        <w:rPr>
          <w:rFonts w:ascii="方正小标宋简体" w:eastAsia="方正小标宋简体" w:hint="eastAsia"/>
          <w:bCs/>
          <w:sz w:val="36"/>
          <w:szCs w:val="21"/>
        </w:rPr>
        <w:t>发明创新</w:t>
      </w:r>
      <w:r>
        <w:rPr>
          <w:rFonts w:ascii="方正小标宋简体" w:eastAsia="方正小标宋简体" w:hint="eastAsia"/>
          <w:bCs/>
          <w:sz w:val="36"/>
          <w:szCs w:val="21"/>
        </w:rPr>
        <w:t>奖（</w:t>
      </w:r>
      <w:r w:rsidR="00FE64C9">
        <w:rPr>
          <w:rFonts w:ascii="方正小标宋简体" w:eastAsia="方正小标宋简体" w:hint="eastAsia"/>
          <w:bCs/>
          <w:sz w:val="36"/>
          <w:szCs w:val="21"/>
        </w:rPr>
        <w:t>中国发明协会</w:t>
      </w:r>
      <w:r>
        <w:rPr>
          <w:rFonts w:ascii="方正小标宋简体" w:eastAsia="方正小标宋简体" w:hint="eastAsia"/>
          <w:bCs/>
          <w:sz w:val="36"/>
          <w:szCs w:val="21"/>
        </w:rPr>
        <w:t>）提名公示信息</w:t>
      </w:r>
    </w:p>
    <w:tbl>
      <w:tblPr>
        <w:tblStyle w:val="a7"/>
        <w:tblpPr w:leftFromText="180" w:rightFromText="180" w:vertAnchor="text" w:tblpXSpec="center" w:tblpY="1"/>
        <w:tblOverlap w:val="never"/>
        <w:tblW w:w="13606" w:type="dxa"/>
        <w:tblCellMar>
          <w:left w:w="0" w:type="dxa"/>
          <w:right w:w="0" w:type="dxa"/>
        </w:tblCellMar>
        <w:tblLook w:val="04A0"/>
      </w:tblPr>
      <w:tblGrid>
        <w:gridCol w:w="572"/>
        <w:gridCol w:w="1653"/>
        <w:gridCol w:w="11381"/>
      </w:tblGrid>
      <w:tr w:rsidR="00C718BF" w:rsidTr="00EB10E1">
        <w:trPr>
          <w:trHeight w:val="476"/>
        </w:trPr>
        <w:tc>
          <w:tcPr>
            <w:tcW w:w="2225" w:type="dxa"/>
            <w:gridSpan w:val="2"/>
            <w:vAlign w:val="center"/>
          </w:tcPr>
          <w:p w:rsidR="00C718BF" w:rsidRDefault="007C124D" w:rsidP="00EB10E1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81" w:type="dxa"/>
            <w:vAlign w:val="center"/>
          </w:tcPr>
          <w:p w:rsidR="00C718BF" w:rsidRDefault="00B20015" w:rsidP="00B20015">
            <w:pPr>
              <w:spacing w:line="220" w:lineRule="atLeas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20015">
              <w:rPr>
                <w:rFonts w:ascii="黑体" w:eastAsia="黑体" w:hAnsi="黑体" w:hint="eastAsia"/>
                <w:sz w:val="24"/>
              </w:rPr>
              <w:t>环境绿色新材料研制方法及应用</w:t>
            </w:r>
          </w:p>
        </w:tc>
      </w:tr>
      <w:tr w:rsidR="00C718BF" w:rsidTr="00EB10E1">
        <w:trPr>
          <w:trHeight w:val="476"/>
        </w:trPr>
        <w:tc>
          <w:tcPr>
            <w:tcW w:w="2225" w:type="dxa"/>
            <w:gridSpan w:val="2"/>
            <w:vAlign w:val="center"/>
          </w:tcPr>
          <w:p w:rsidR="00C718BF" w:rsidRDefault="007C124D" w:rsidP="00EB10E1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11381" w:type="dxa"/>
            <w:vAlign w:val="center"/>
          </w:tcPr>
          <w:p w:rsidR="00C718BF" w:rsidRDefault="003B1A1C" w:rsidP="00EB10E1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南开大学</w:t>
            </w:r>
          </w:p>
        </w:tc>
      </w:tr>
      <w:tr w:rsidR="00C718BF" w:rsidTr="00EB10E1">
        <w:trPr>
          <w:trHeight w:val="476"/>
        </w:trPr>
        <w:tc>
          <w:tcPr>
            <w:tcW w:w="2225" w:type="dxa"/>
            <w:gridSpan w:val="2"/>
            <w:vAlign w:val="center"/>
          </w:tcPr>
          <w:p w:rsidR="00C718BF" w:rsidRDefault="007C124D" w:rsidP="00EB10E1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81" w:type="dxa"/>
            <w:vAlign w:val="center"/>
          </w:tcPr>
          <w:p w:rsidR="00C718BF" w:rsidRDefault="007C124D" w:rsidP="00EB10E1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（包括：排名、姓名、技术职称、工作单位、完成单位、对本项目重要科学发现的贡献）</w:t>
            </w:r>
          </w:p>
          <w:p w:rsidR="00480CDF" w:rsidRDefault="00B20015" w:rsidP="00EB10E1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1</w:t>
            </w:r>
            <w:r w:rsidR="00480CDF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完成人：周启星，教授，南开大学，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1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、</w:t>
            </w:r>
            <w:r w:rsidR="00C10BD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2</w:t>
            </w:r>
            <w:r w:rsidR="00FD0DFD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6</w:t>
            </w:r>
            <w:r w:rsidR="00FD0DFD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主要发明人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；</w:t>
            </w:r>
          </w:p>
          <w:p w:rsidR="0001444B" w:rsidRDefault="00B20015" w:rsidP="00EB10E1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2</w:t>
            </w:r>
            <w:r w:rsidR="0001444B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展思辉</w:t>
            </w:r>
            <w:r w:rsidR="0001444B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，教授，南开大学，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3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7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的主要发明人；</w:t>
            </w:r>
          </w:p>
          <w:p w:rsidR="00E36882" w:rsidRDefault="00B20015" w:rsidP="00EB10E1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3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胡献刚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，教授，南开大学，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1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6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主要发明人；</w:t>
            </w:r>
          </w:p>
          <w:p w:rsidR="00E36882" w:rsidRDefault="00B20015" w:rsidP="00EB10E1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4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赵远，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教授，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常州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大学，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4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10</w:t>
            </w:r>
            <w:r w:rsidR="00E3688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主要发明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人；</w:t>
            </w:r>
          </w:p>
          <w:p w:rsidR="00AF2FB7" w:rsidRDefault="00AF2FB7" w:rsidP="00C10BD2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 w:rsidR="00B20015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</w:t>
            </w:r>
            <w:r w:rsidR="00B20015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薛刚，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教授，</w:t>
            </w:r>
            <w:r w:rsidR="00B20015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河北工</w:t>
            </w:r>
            <w:r w:rsidR="00D7162D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业大学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，</w:t>
            </w:r>
            <w:r w:rsidR="003A2DC2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和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8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主要发明人；</w:t>
            </w:r>
          </w:p>
          <w:p w:rsidR="00B20015" w:rsidRDefault="00B20015" w:rsidP="00B20015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第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完成人：梁继东，副教授，西安交通大学，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专利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9</w:t>
            </w:r>
            <w:r w:rsidR="00EC5773">
              <w:rPr>
                <w:rFonts w:cs="Times New Roman" w:hint="eastAsia"/>
                <w:color w:val="000000"/>
                <w:spacing w:val="2"/>
                <w:sz w:val="21"/>
                <w:szCs w:val="21"/>
              </w:rPr>
              <w:t>的主要发明人。</w:t>
            </w:r>
          </w:p>
          <w:p w:rsidR="00B20015" w:rsidRPr="00AF2FB7" w:rsidRDefault="00B20015" w:rsidP="00C10BD2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C718BF" w:rsidTr="00EB10E1">
        <w:trPr>
          <w:trHeight w:val="476"/>
        </w:trPr>
        <w:tc>
          <w:tcPr>
            <w:tcW w:w="2225" w:type="dxa"/>
            <w:gridSpan w:val="2"/>
            <w:vAlign w:val="center"/>
          </w:tcPr>
          <w:p w:rsidR="00C718BF" w:rsidRDefault="007C124D" w:rsidP="00EB10E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81" w:type="dxa"/>
            <w:vAlign w:val="center"/>
          </w:tcPr>
          <w:p w:rsidR="00C718BF" w:rsidRDefault="00134058" w:rsidP="00B20015">
            <w:pPr>
              <w:spacing w:line="24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南开大学、</w:t>
            </w:r>
            <w:r w:rsidR="00B20015">
              <w:rPr>
                <w:rFonts w:hint="eastAsia"/>
                <w:sz w:val="21"/>
                <w:szCs w:val="21"/>
              </w:rPr>
              <w:t>常州</w:t>
            </w:r>
            <w:r>
              <w:rPr>
                <w:rFonts w:hint="eastAsia"/>
                <w:sz w:val="21"/>
                <w:szCs w:val="21"/>
              </w:rPr>
              <w:t>大学</w:t>
            </w:r>
            <w:r w:rsidR="00B20015">
              <w:rPr>
                <w:rFonts w:hint="eastAsia"/>
                <w:sz w:val="21"/>
                <w:szCs w:val="21"/>
              </w:rPr>
              <w:t>、</w:t>
            </w:r>
            <w:r w:rsidR="00410F9B">
              <w:rPr>
                <w:rFonts w:hint="eastAsia"/>
                <w:sz w:val="21"/>
                <w:szCs w:val="21"/>
              </w:rPr>
              <w:t>河北工业大学、西安交通大学、</w:t>
            </w:r>
            <w:r w:rsidR="00410F9B" w:rsidRPr="00410F9B">
              <w:rPr>
                <w:rFonts w:asciiTheme="minorEastAsia" w:eastAsiaTheme="minorEastAsia" w:hAnsiTheme="minorEastAsia" w:hint="eastAsia"/>
                <w:sz w:val="24"/>
              </w:rPr>
              <w:t>公安部天津消防研究所</w:t>
            </w:r>
          </w:p>
        </w:tc>
      </w:tr>
      <w:tr w:rsidR="00410F9B" w:rsidTr="00115F2E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EB10E1">
            <w:pPr>
              <w:pStyle w:val="a6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034" w:type="dxa"/>
            <w:gridSpan w:val="2"/>
            <w:vAlign w:val="center"/>
          </w:tcPr>
          <w:p w:rsidR="00410F9B" w:rsidRDefault="001B6B13" w:rsidP="00EB10E1">
            <w:pPr>
              <w:pStyle w:val="a6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1B6B13">
              <w:rPr>
                <w:rFonts w:ascii="黑体" w:eastAsia="黑体" w:hAnsi="黑体" w:cs="黑体" w:hint="eastAsia"/>
                <w:color w:val="000000"/>
                <w:szCs w:val="18"/>
              </w:rPr>
              <w:t>专利名称</w:t>
            </w:r>
          </w:p>
        </w:tc>
      </w:tr>
      <w:tr w:rsidR="00410F9B" w:rsidTr="00442A95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410F9B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3E2233">
              <w:rPr>
                <w:rFonts w:ascii="Times New Roman" w:hAnsi="宋体"/>
              </w:rPr>
              <w:t>一种</w:t>
            </w:r>
            <w:r w:rsidRPr="003E2233">
              <w:rPr>
                <w:rFonts w:ascii="Times New Roman"/>
              </w:rPr>
              <w:t>L-</w:t>
            </w:r>
            <w:r w:rsidRPr="003E2233">
              <w:rPr>
                <w:rFonts w:ascii="Times New Roman" w:hAnsi="宋体"/>
              </w:rPr>
              <w:t>半胱氨酸</w:t>
            </w:r>
            <w:r w:rsidRPr="003E2233">
              <w:rPr>
                <w:rFonts w:ascii="Times New Roman"/>
              </w:rPr>
              <w:t>—</w:t>
            </w:r>
            <w:r w:rsidRPr="003E2233">
              <w:rPr>
                <w:rFonts w:ascii="Times New Roman" w:hAnsi="宋体"/>
              </w:rPr>
              <w:t>氧化石墨烯纳米材料的制备方法</w:t>
            </w:r>
          </w:p>
        </w:tc>
      </w:tr>
      <w:tr w:rsidR="00410F9B" w:rsidTr="00241D28">
        <w:trPr>
          <w:trHeight w:val="312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F41A46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eastAsiaTheme="minorEastAsia" w:cs="Times New Roman"/>
                <w:szCs w:val="24"/>
              </w:rPr>
            </w:pPr>
            <w:r w:rsidRPr="003E2233">
              <w:rPr>
                <w:rFonts w:eastAsia="宋体" w:hAnsi="宋体" w:cs="Times New Roman"/>
              </w:rPr>
              <w:t>一种微生物燃料电池空气阴极片的制备方法</w:t>
            </w:r>
          </w:p>
        </w:tc>
      </w:tr>
      <w:tr w:rsidR="00410F9B" w:rsidTr="001B120C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F41A46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eastAsiaTheme="minorEastAsia" w:cs="Times New Roman"/>
                <w:szCs w:val="24"/>
              </w:rPr>
            </w:pPr>
            <w:r w:rsidRPr="00D16A62">
              <w:rPr>
                <w:rFonts w:eastAsiaTheme="majorEastAsia" w:hAnsiTheme="majorEastAsia" w:cs="Times New Roman"/>
                <w:szCs w:val="24"/>
              </w:rPr>
              <w:t>一种氧化石墨烯的复合金属氧化物气敏材料的制备方法</w:t>
            </w:r>
          </w:p>
        </w:tc>
      </w:tr>
      <w:tr w:rsidR="00410F9B" w:rsidTr="00853DD0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410F9B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 w:hAnsiTheme="majorEastAsia"/>
                <w:szCs w:val="24"/>
              </w:rPr>
              <w:t>一种处理造纸废水中高浓度氨氮催化剂的制备及应用方法</w:t>
            </w:r>
          </w:p>
        </w:tc>
      </w:tr>
      <w:tr w:rsidR="00410F9B" w:rsidTr="00AA04A9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410F9B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 w:hAnsiTheme="majorEastAsia"/>
                <w:szCs w:val="24"/>
              </w:rPr>
              <w:t>一种氧化石墨烯基稀土复合物催化材料及其制备方法</w:t>
            </w:r>
          </w:p>
        </w:tc>
      </w:tr>
      <w:tr w:rsidR="00410F9B" w:rsidTr="00241D28">
        <w:trPr>
          <w:trHeight w:val="340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CC2F52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F03A1">
              <w:rPr>
                <w:rFonts w:ascii="Times New Roman" w:hAnsi="宋体"/>
              </w:rPr>
              <w:t>一种定性分析氧化石墨烯的方法</w:t>
            </w:r>
          </w:p>
        </w:tc>
      </w:tr>
      <w:tr w:rsidR="00410F9B" w:rsidTr="00241D28">
        <w:trPr>
          <w:trHeight w:val="442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CC2F52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 w:hAnsiTheme="majorEastAsia"/>
                <w:szCs w:val="24"/>
              </w:rPr>
              <w:t>一种用于甲醛检测的气敏元件及其制造方法</w:t>
            </w:r>
          </w:p>
        </w:tc>
      </w:tr>
      <w:tr w:rsidR="00410F9B" w:rsidTr="00AA04A9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CC2F52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 w:hAnsiTheme="majorEastAsia"/>
                <w:szCs w:val="24"/>
              </w:rPr>
              <w:t>一种复合石墨烯的甲烷催化剂及其制备方法</w:t>
            </w:r>
          </w:p>
        </w:tc>
      </w:tr>
      <w:tr w:rsidR="00410F9B" w:rsidTr="00AA04A9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CC2F52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/>
                <w:szCs w:val="24"/>
              </w:rPr>
              <w:t>PVA/</w:t>
            </w:r>
            <w:r w:rsidRPr="00D16A62">
              <w:rPr>
                <w:rFonts w:ascii="Times New Roman" w:eastAsiaTheme="majorEastAsia" w:hAnsiTheme="majorEastAsia"/>
                <w:szCs w:val="24"/>
              </w:rPr>
              <w:t>壳聚糖球形生物载体及其制备方法</w:t>
            </w:r>
          </w:p>
        </w:tc>
      </w:tr>
      <w:tr w:rsidR="00410F9B" w:rsidTr="00AA04A9">
        <w:trPr>
          <w:trHeight w:val="476"/>
        </w:trPr>
        <w:tc>
          <w:tcPr>
            <w:tcW w:w="572" w:type="dxa"/>
            <w:vAlign w:val="center"/>
          </w:tcPr>
          <w:p w:rsidR="00410F9B" w:rsidRDefault="00410F9B" w:rsidP="00241D28">
            <w:pPr>
              <w:pStyle w:val="a6"/>
              <w:widowControl w:val="0"/>
              <w:adjustRightInd w:val="0"/>
              <w:spacing w:line="22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34" w:type="dxa"/>
            <w:gridSpan w:val="2"/>
            <w:vAlign w:val="center"/>
          </w:tcPr>
          <w:p w:rsidR="00410F9B" w:rsidRPr="00E6558B" w:rsidRDefault="00CC2F52" w:rsidP="00241D28">
            <w:pPr>
              <w:pStyle w:val="a3"/>
              <w:spacing w:line="220" w:lineRule="exact"/>
              <w:ind w:firstLineChars="0" w:firstLine="0"/>
              <w:jc w:val="center"/>
              <w:rPr>
                <w:rFonts w:ascii="Times New Roman" w:eastAsiaTheme="minorEastAsia" w:hint="default"/>
                <w:szCs w:val="24"/>
              </w:rPr>
            </w:pPr>
            <w:r w:rsidRPr="00D16A62">
              <w:rPr>
                <w:rFonts w:ascii="Times New Roman" w:eastAsiaTheme="majorEastAsia" w:hAnsiTheme="majorEastAsia"/>
                <w:szCs w:val="24"/>
              </w:rPr>
              <w:t>一种富集污染水体中亚硝酸盐含量的生物制剂合成方法</w:t>
            </w:r>
          </w:p>
        </w:tc>
      </w:tr>
    </w:tbl>
    <w:p w:rsidR="00C718BF" w:rsidRDefault="00EB10E1" w:rsidP="002E2C54">
      <w:pPr>
        <w:spacing w:line="240" w:lineRule="exact"/>
        <w:rPr>
          <w:sz w:val="21"/>
          <w:szCs w:val="21"/>
        </w:rPr>
      </w:pPr>
      <w:r>
        <w:rPr>
          <w:sz w:val="21"/>
          <w:szCs w:val="21"/>
        </w:rPr>
        <w:br w:type="textWrapping" w:clear="all"/>
      </w:r>
    </w:p>
    <w:sectPr w:rsidR="00C718BF" w:rsidSect="005B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851" w:left="1134" w:header="57" w:footer="5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28" w:rsidRDefault="00EF2828">
      <w:pPr>
        <w:spacing w:line="240" w:lineRule="auto"/>
      </w:pPr>
      <w:r>
        <w:separator/>
      </w:r>
    </w:p>
  </w:endnote>
  <w:endnote w:type="continuationSeparator" w:id="0">
    <w:p w:rsidR="00EF2828" w:rsidRDefault="00EF2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28" w:rsidRDefault="00EF2828">
      <w:pPr>
        <w:spacing w:line="240" w:lineRule="auto"/>
      </w:pPr>
      <w:r>
        <w:separator/>
      </w:r>
    </w:p>
  </w:footnote>
  <w:footnote w:type="continuationSeparator" w:id="0">
    <w:p w:rsidR="00EF2828" w:rsidRDefault="00EF28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BF" w:rsidRDefault="00C718BF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191"/>
    <w:rsid w:val="00005147"/>
    <w:rsid w:val="0001444B"/>
    <w:rsid w:val="00067672"/>
    <w:rsid w:val="000A4ADF"/>
    <w:rsid w:val="000B3FFB"/>
    <w:rsid w:val="000C5D8B"/>
    <w:rsid w:val="000C7F6B"/>
    <w:rsid w:val="000F0829"/>
    <w:rsid w:val="001140EF"/>
    <w:rsid w:val="00124973"/>
    <w:rsid w:val="00130AF0"/>
    <w:rsid w:val="0013265D"/>
    <w:rsid w:val="00134058"/>
    <w:rsid w:val="0017059E"/>
    <w:rsid w:val="001B472D"/>
    <w:rsid w:val="001B6B13"/>
    <w:rsid w:val="001C156A"/>
    <w:rsid w:val="001C3D91"/>
    <w:rsid w:val="00201F4E"/>
    <w:rsid w:val="00210C1E"/>
    <w:rsid w:val="00241D28"/>
    <w:rsid w:val="00244BFE"/>
    <w:rsid w:val="00266118"/>
    <w:rsid w:val="00287332"/>
    <w:rsid w:val="002A37DD"/>
    <w:rsid w:val="002E2C54"/>
    <w:rsid w:val="002F132B"/>
    <w:rsid w:val="002F3E65"/>
    <w:rsid w:val="00323B9A"/>
    <w:rsid w:val="00344B21"/>
    <w:rsid w:val="0036656F"/>
    <w:rsid w:val="003779A7"/>
    <w:rsid w:val="003A2DC2"/>
    <w:rsid w:val="003B1A1C"/>
    <w:rsid w:val="003B6016"/>
    <w:rsid w:val="00410F9B"/>
    <w:rsid w:val="00421DF8"/>
    <w:rsid w:val="004240EF"/>
    <w:rsid w:val="0045344D"/>
    <w:rsid w:val="00480CDF"/>
    <w:rsid w:val="004929EA"/>
    <w:rsid w:val="004A0561"/>
    <w:rsid w:val="004A7815"/>
    <w:rsid w:val="004C73E4"/>
    <w:rsid w:val="004D1208"/>
    <w:rsid w:val="00525143"/>
    <w:rsid w:val="00555E53"/>
    <w:rsid w:val="00570DC1"/>
    <w:rsid w:val="00587D24"/>
    <w:rsid w:val="005B4BCD"/>
    <w:rsid w:val="005C7F36"/>
    <w:rsid w:val="005D377D"/>
    <w:rsid w:val="005E4658"/>
    <w:rsid w:val="005F23AB"/>
    <w:rsid w:val="00602071"/>
    <w:rsid w:val="00646ECD"/>
    <w:rsid w:val="006634D0"/>
    <w:rsid w:val="00670D8A"/>
    <w:rsid w:val="0071346C"/>
    <w:rsid w:val="007321E7"/>
    <w:rsid w:val="007462CD"/>
    <w:rsid w:val="00761063"/>
    <w:rsid w:val="007703AA"/>
    <w:rsid w:val="00782C76"/>
    <w:rsid w:val="007A5E42"/>
    <w:rsid w:val="007C124D"/>
    <w:rsid w:val="007C376F"/>
    <w:rsid w:val="007E7F22"/>
    <w:rsid w:val="008360E9"/>
    <w:rsid w:val="009241FF"/>
    <w:rsid w:val="009264CF"/>
    <w:rsid w:val="00953187"/>
    <w:rsid w:val="009D3FAC"/>
    <w:rsid w:val="009E6685"/>
    <w:rsid w:val="009F08CF"/>
    <w:rsid w:val="00A036AF"/>
    <w:rsid w:val="00A43EE1"/>
    <w:rsid w:val="00A57144"/>
    <w:rsid w:val="00A64BC1"/>
    <w:rsid w:val="00A721D4"/>
    <w:rsid w:val="00A917A5"/>
    <w:rsid w:val="00A9312C"/>
    <w:rsid w:val="00A971A5"/>
    <w:rsid w:val="00AA72EE"/>
    <w:rsid w:val="00AB0DA4"/>
    <w:rsid w:val="00AD49CC"/>
    <w:rsid w:val="00AF0436"/>
    <w:rsid w:val="00AF0C16"/>
    <w:rsid w:val="00AF2FB7"/>
    <w:rsid w:val="00B028D1"/>
    <w:rsid w:val="00B058CC"/>
    <w:rsid w:val="00B20015"/>
    <w:rsid w:val="00B36DF8"/>
    <w:rsid w:val="00B84FA2"/>
    <w:rsid w:val="00BB6FB3"/>
    <w:rsid w:val="00BC292E"/>
    <w:rsid w:val="00BF39D0"/>
    <w:rsid w:val="00C10BD2"/>
    <w:rsid w:val="00C20BA2"/>
    <w:rsid w:val="00C718BF"/>
    <w:rsid w:val="00C73532"/>
    <w:rsid w:val="00C80088"/>
    <w:rsid w:val="00CA661D"/>
    <w:rsid w:val="00CB58A0"/>
    <w:rsid w:val="00CC1191"/>
    <w:rsid w:val="00CC2F52"/>
    <w:rsid w:val="00CD7CB0"/>
    <w:rsid w:val="00CD7F13"/>
    <w:rsid w:val="00CE67F0"/>
    <w:rsid w:val="00CF0FF2"/>
    <w:rsid w:val="00D05237"/>
    <w:rsid w:val="00D1337D"/>
    <w:rsid w:val="00D21330"/>
    <w:rsid w:val="00D2527C"/>
    <w:rsid w:val="00D64474"/>
    <w:rsid w:val="00D7162D"/>
    <w:rsid w:val="00D7597B"/>
    <w:rsid w:val="00D930BE"/>
    <w:rsid w:val="00DC1AD5"/>
    <w:rsid w:val="00E02738"/>
    <w:rsid w:val="00E36882"/>
    <w:rsid w:val="00E6558B"/>
    <w:rsid w:val="00E76B97"/>
    <w:rsid w:val="00E7720D"/>
    <w:rsid w:val="00E84AD4"/>
    <w:rsid w:val="00E9115E"/>
    <w:rsid w:val="00E939F0"/>
    <w:rsid w:val="00EB10E1"/>
    <w:rsid w:val="00EC5773"/>
    <w:rsid w:val="00EC6F6B"/>
    <w:rsid w:val="00EF2828"/>
    <w:rsid w:val="00EF6E69"/>
    <w:rsid w:val="00F25D83"/>
    <w:rsid w:val="00F41A46"/>
    <w:rsid w:val="00F76207"/>
    <w:rsid w:val="00F85FF9"/>
    <w:rsid w:val="00F9132E"/>
    <w:rsid w:val="00FB1CB2"/>
    <w:rsid w:val="00FB5AC0"/>
    <w:rsid w:val="00FD0DFD"/>
    <w:rsid w:val="00FE64C9"/>
    <w:rsid w:val="00FF087D"/>
    <w:rsid w:val="16C9354B"/>
    <w:rsid w:val="1D536E88"/>
    <w:rsid w:val="42582E81"/>
    <w:rsid w:val="494644B1"/>
    <w:rsid w:val="7FE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CD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4BCD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4BCD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5B4BCD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5B4B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4BC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B4BCD"/>
    <w:rPr>
      <w:sz w:val="24"/>
    </w:rPr>
  </w:style>
  <w:style w:type="table" w:styleId="a7">
    <w:name w:val="Table Grid"/>
    <w:basedOn w:val="a1"/>
    <w:uiPriority w:val="59"/>
    <w:qFormat/>
    <w:rsid w:val="005B4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B4B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4B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B4BCD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B4BCD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sid w:val="005B4BCD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CBC47-F1B5-43A4-9D77-EC0A0533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Administrator</cp:lastModifiedBy>
  <cp:revision>92</cp:revision>
  <cp:lastPrinted>2019-12-03T02:10:00Z</cp:lastPrinted>
  <dcterms:created xsi:type="dcterms:W3CDTF">2019-12-02T11:23:00Z</dcterms:created>
  <dcterms:modified xsi:type="dcterms:W3CDTF">2020-07-06T07:04:00Z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